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23DC" w:rsidRDefault="004323DC" w:rsidP="00C917B0">
      <w:pPr>
        <w:spacing w:after="0" w:line="240" w:lineRule="auto"/>
        <w:ind w:left="-720" w:right="-634"/>
        <w:jc w:val="center"/>
        <w:rPr>
          <w:rFonts w:ascii="Times New Roman" w:hAnsi="Times New Roman" w:cs="Times New Roman"/>
          <w:b/>
          <w:color w:val="2F5496" w:themeColor="accent1" w:themeShade="BF"/>
          <w:u w:val="none"/>
        </w:rPr>
      </w:pPr>
    </w:p>
    <w:p w:rsidR="00A30F5D" w:rsidRPr="00C917B0" w:rsidRDefault="00792E03" w:rsidP="00C917B0">
      <w:pPr>
        <w:spacing w:after="0" w:line="240" w:lineRule="auto"/>
        <w:ind w:left="-720" w:right="-634"/>
        <w:jc w:val="center"/>
        <w:rPr>
          <w:rFonts w:ascii="Times New Roman" w:hAnsi="Times New Roman" w:cs="Times New Roman"/>
          <w:b/>
          <w:color w:val="2F5496" w:themeColor="accent1" w:themeShade="BF"/>
          <w:u w:val="none"/>
        </w:rPr>
      </w:pPr>
      <w:r w:rsidRPr="00C917B0">
        <w:rPr>
          <w:rFonts w:ascii="Times New Roman" w:hAnsi="Times New Roman" w:cs="Times New Roman"/>
          <w:b/>
          <w:color w:val="2F5496" w:themeColor="accent1" w:themeShade="BF"/>
          <w:u w:val="none"/>
        </w:rPr>
        <w:t>INFORMATION RETURN CHECKLIST &amp; COMPLIANCE OPTIONS</w:t>
      </w:r>
    </w:p>
    <w:p w:rsidR="00C917B0" w:rsidRPr="00792E03" w:rsidRDefault="00C917B0" w:rsidP="00C917B0">
      <w:pPr>
        <w:spacing w:after="0" w:line="240" w:lineRule="auto"/>
        <w:ind w:left="-720" w:right="-634"/>
        <w:jc w:val="center"/>
        <w:rPr>
          <w:rFonts w:ascii="Times New Roman" w:hAnsi="Times New Roman" w:cs="Times New Roman"/>
          <w:b/>
          <w:u w:val="none"/>
        </w:rPr>
      </w:pPr>
    </w:p>
    <w:p w:rsidR="00792E03" w:rsidRDefault="00792E03" w:rsidP="00C917B0">
      <w:pPr>
        <w:spacing w:after="0" w:line="240" w:lineRule="auto"/>
        <w:ind w:left="-720" w:right="-634" w:firstLine="720"/>
        <w:rPr>
          <w:rFonts w:ascii="Times New Roman" w:hAnsi="Times New Roman" w:cs="Times New Roman"/>
          <w:u w:val="none"/>
        </w:rPr>
      </w:pPr>
      <w:r w:rsidRPr="00792E03">
        <w:rPr>
          <w:rFonts w:ascii="Times New Roman" w:hAnsi="Times New Roman" w:cs="Times New Roman"/>
          <w:u w:val="none"/>
        </w:rPr>
        <w:t>Individuals who have foreign income, foreign assets, or foreign transactions should be mindful that there are many disc</w:t>
      </w:r>
      <w:r>
        <w:rPr>
          <w:rFonts w:ascii="Times New Roman" w:hAnsi="Times New Roman" w:cs="Times New Roman"/>
          <w:u w:val="none"/>
        </w:rPr>
        <w:t xml:space="preserve">losures required when filing their U.S. income tax returns.  Each of these information returns have its own penalties when there is a failure to file these forms or a failure to substantially comply with these requirements.  Below is a checklist of some common information reporting forms an individual with foreign income, foreign assets, or foreign transactions may be required to file.  However, </w:t>
      </w:r>
      <w:r w:rsidR="00C917B0">
        <w:rPr>
          <w:rFonts w:ascii="Times New Roman" w:hAnsi="Times New Roman" w:cs="Times New Roman"/>
          <w:u w:val="none"/>
        </w:rPr>
        <w:t xml:space="preserve">an individual should not attempt to prepare these information returns without engaging a return preparer with experience dealing with these situations.  </w:t>
      </w:r>
      <w:r w:rsidR="004323DC">
        <w:rPr>
          <w:rFonts w:ascii="Times New Roman" w:hAnsi="Times New Roman" w:cs="Times New Roman"/>
          <w:u w:val="none"/>
        </w:rPr>
        <w:t>If there an individual failed to file one or more of these forms in prior tax years, the individual should consult with a tax attorney with a focus on international tax law to discuss his/her compliance options.  To schedule a consultation with our office, please contact us at (925)202-2922.</w:t>
      </w:r>
    </w:p>
    <w:p w:rsidR="00C917B0" w:rsidRPr="00792E03" w:rsidRDefault="00C917B0" w:rsidP="00C917B0">
      <w:pPr>
        <w:spacing w:after="0" w:line="240" w:lineRule="auto"/>
        <w:ind w:left="-720" w:right="-634" w:firstLine="720"/>
        <w:rPr>
          <w:rFonts w:ascii="Times New Roman" w:hAnsi="Times New Roman" w:cs="Times New Roman"/>
          <w:u w:val="none"/>
        </w:rPr>
      </w:pPr>
    </w:p>
    <w:p w:rsidR="00C917B0" w:rsidRDefault="00792E03" w:rsidP="00C917B0">
      <w:pPr>
        <w:spacing w:after="0" w:line="240" w:lineRule="auto"/>
        <w:ind w:left="-720" w:right="-634"/>
        <w:rPr>
          <w:rFonts w:ascii="Times New Roman" w:hAnsi="Times New Roman" w:cs="Times New Roman"/>
          <w:b/>
          <w:color w:val="2F5496" w:themeColor="accent1" w:themeShade="BF"/>
          <w:u w:val="none"/>
        </w:rPr>
      </w:pPr>
      <w:r w:rsidRPr="00792E03">
        <w:rPr>
          <w:rFonts w:ascii="Times New Roman" w:hAnsi="Times New Roman" w:cs="Times New Roman"/>
          <w:b/>
          <w:color w:val="2F5496" w:themeColor="accent1" w:themeShade="BF"/>
          <w:u w:val="none"/>
        </w:rPr>
        <w:t xml:space="preserve">COMMON </w:t>
      </w:r>
      <w:r w:rsidR="00C917B0">
        <w:rPr>
          <w:rFonts w:ascii="Times New Roman" w:hAnsi="Times New Roman" w:cs="Times New Roman"/>
          <w:b/>
          <w:color w:val="2F5496" w:themeColor="accent1" w:themeShade="BF"/>
          <w:u w:val="none"/>
        </w:rPr>
        <w:t>INFORMATION REPORTING FORMS</w:t>
      </w:r>
    </w:p>
    <w:p w:rsidR="00C917B0" w:rsidRDefault="00C917B0" w:rsidP="00C917B0">
      <w:pPr>
        <w:spacing w:after="0" w:line="240" w:lineRule="auto"/>
        <w:ind w:left="-720" w:right="-634"/>
        <w:rPr>
          <w:rFonts w:ascii="Times New Roman" w:hAnsi="Times New Roman" w:cs="Times New Roman"/>
          <w:b/>
          <w:color w:val="2F5496" w:themeColor="accent1" w:themeShade="BF"/>
          <w:u w:val="none"/>
        </w:rPr>
      </w:pPr>
    </w:p>
    <w:p w:rsidR="00C917B0" w:rsidRDefault="00BA71BD" w:rsidP="00C917B0">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Foreign Bank Account Reporting Form</w:t>
      </w:r>
      <w:r w:rsidR="00110022">
        <w:rPr>
          <w:rFonts w:ascii="Times New Roman" w:hAnsi="Times New Roman" w:cs="Times New Roman"/>
          <w:color w:val="2F5496" w:themeColor="accent1" w:themeShade="BF"/>
          <w:u w:val="none"/>
        </w:rPr>
        <w:t xml:space="preserve"> </w:t>
      </w:r>
      <w:r>
        <w:rPr>
          <w:rFonts w:ascii="Times New Roman" w:hAnsi="Times New Roman" w:cs="Times New Roman"/>
          <w:color w:val="2F5496" w:themeColor="accent1" w:themeShade="BF"/>
          <w:u w:val="none"/>
        </w:rPr>
        <w:t>– FinCen 114</w:t>
      </w:r>
      <w:r w:rsidR="00993FCC">
        <w:rPr>
          <w:rFonts w:ascii="Times New Roman" w:hAnsi="Times New Roman" w:cs="Times New Roman"/>
          <w:color w:val="2F5496" w:themeColor="accent1" w:themeShade="BF"/>
          <w:u w:val="none"/>
        </w:rPr>
        <w:t xml:space="preserve"> (FBAR)</w:t>
      </w:r>
    </w:p>
    <w:p w:rsidR="00BA71BD" w:rsidRDefault="00BA71BD" w:rsidP="00BA71BD">
      <w:pPr>
        <w:pStyle w:val="ListParagraph"/>
        <w:spacing w:after="0" w:line="240" w:lineRule="auto"/>
        <w:ind w:left="0" w:right="-634"/>
        <w:rPr>
          <w:rFonts w:ascii="Times New Roman" w:hAnsi="Times New Roman" w:cs="Times New Roman"/>
          <w:color w:val="2F5496" w:themeColor="accent1" w:themeShade="BF"/>
          <w:u w:val="none"/>
        </w:rPr>
      </w:pPr>
    </w:p>
    <w:p w:rsidR="00BA71BD" w:rsidRDefault="00BA71BD" w:rsidP="00BA71BD">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 xml:space="preserve">Used for reporting foreign financial accounts when the aggregate account balance that a U.S. person has a financial interest in </w:t>
      </w:r>
      <w:r w:rsidR="004323DC">
        <w:rPr>
          <w:rFonts w:ascii="Times New Roman" w:hAnsi="Times New Roman" w:cs="Times New Roman"/>
          <w:u w:val="none"/>
        </w:rPr>
        <w:t>and/</w:t>
      </w:r>
      <w:r>
        <w:rPr>
          <w:rFonts w:ascii="Times New Roman" w:hAnsi="Times New Roman" w:cs="Times New Roman"/>
          <w:u w:val="none"/>
        </w:rPr>
        <w:t>or signatory authority over exceeds $10,000 during any day of the calendar year. Foreign financial accounts include foreign financial products, such as foreign life insurance policies with cash surrender value.  Financial interest may include ownership of the account through other entities.  The penalty for noncompliance is up to $10,000 per year in a nonwillful situation and the greater of $100,000 or 50% of the account balance at the time of violation in a willful situation.</w:t>
      </w:r>
    </w:p>
    <w:p w:rsidR="00BA71BD" w:rsidRPr="00BA71BD" w:rsidRDefault="00BA71BD" w:rsidP="00BA71BD">
      <w:pPr>
        <w:pStyle w:val="ListParagraph"/>
        <w:spacing w:after="0" w:line="240" w:lineRule="auto"/>
        <w:ind w:left="0" w:right="-634"/>
        <w:rPr>
          <w:rFonts w:ascii="Times New Roman" w:hAnsi="Times New Roman" w:cs="Times New Roman"/>
          <w:u w:val="none"/>
        </w:rPr>
      </w:pPr>
    </w:p>
    <w:p w:rsidR="00BA71BD" w:rsidRDefault="00BA71BD" w:rsidP="00C917B0">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Form 8938</w:t>
      </w:r>
    </w:p>
    <w:p w:rsidR="00BA71BD" w:rsidRDefault="00BA71BD" w:rsidP="00BA71BD">
      <w:pPr>
        <w:pStyle w:val="ListParagraph"/>
        <w:spacing w:after="0" w:line="240" w:lineRule="auto"/>
        <w:ind w:left="0" w:right="-634"/>
        <w:rPr>
          <w:rFonts w:ascii="Times New Roman" w:hAnsi="Times New Roman" w:cs="Times New Roman"/>
          <w:color w:val="2F5496" w:themeColor="accent1" w:themeShade="BF"/>
          <w:u w:val="none"/>
        </w:rPr>
      </w:pPr>
    </w:p>
    <w:p w:rsidR="00BA71BD" w:rsidRDefault="00BA71BD" w:rsidP="00BA71BD">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Used for reporting “specified foreign financial assets,” which are generally foreign financial accounts, foreign financial products, interests in foreign entities, etc.  The reporting requirement is triggered when the aggregate value/account balance exceeds a certain threshold.  The threshold is dependent on whether the individual is filing as a single person or jointly with a spouse and whether the person lives in the U.S. or abroad.  The penalty for noncompliance is $10,000 initially.  Upon notification by the IRS and continued noncompliance</w:t>
      </w:r>
      <w:r w:rsidR="00175AD1">
        <w:rPr>
          <w:rFonts w:ascii="Times New Roman" w:hAnsi="Times New Roman" w:cs="Times New Roman"/>
          <w:u w:val="none"/>
        </w:rPr>
        <w:t xml:space="preserve"> after 90 days</w:t>
      </w:r>
      <w:r>
        <w:rPr>
          <w:rFonts w:ascii="Times New Roman" w:hAnsi="Times New Roman" w:cs="Times New Roman"/>
          <w:u w:val="none"/>
        </w:rPr>
        <w:t>, the IRS can impose additional penalties of $10,000 per month</w:t>
      </w:r>
      <w:r w:rsidR="00175AD1">
        <w:rPr>
          <w:rFonts w:ascii="Times New Roman" w:hAnsi="Times New Roman" w:cs="Times New Roman"/>
          <w:u w:val="none"/>
        </w:rPr>
        <w:t xml:space="preserve"> up to $50,000.  The maximum penalty per year is $60,000.</w:t>
      </w:r>
    </w:p>
    <w:p w:rsidR="00BA71BD" w:rsidRPr="00BA71BD" w:rsidRDefault="00BA71BD" w:rsidP="00BA71BD">
      <w:pPr>
        <w:pStyle w:val="ListParagraph"/>
        <w:spacing w:after="0" w:line="240" w:lineRule="auto"/>
        <w:ind w:left="0" w:right="-634"/>
        <w:rPr>
          <w:rFonts w:ascii="Times New Roman" w:hAnsi="Times New Roman" w:cs="Times New Roman"/>
          <w:u w:val="none"/>
        </w:rPr>
      </w:pPr>
    </w:p>
    <w:p w:rsidR="00BA71BD" w:rsidRDefault="00BA71BD" w:rsidP="00C917B0">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Form 5471</w:t>
      </w:r>
    </w:p>
    <w:p w:rsidR="00175AD1" w:rsidRDefault="00175AD1" w:rsidP="00175AD1">
      <w:pPr>
        <w:pStyle w:val="ListParagraph"/>
        <w:spacing w:after="0" w:line="240" w:lineRule="auto"/>
        <w:ind w:left="0" w:right="-634"/>
        <w:rPr>
          <w:rFonts w:ascii="Times New Roman" w:hAnsi="Times New Roman" w:cs="Times New Roman"/>
          <w:color w:val="2F5496" w:themeColor="accent1" w:themeShade="BF"/>
          <w:u w:val="none"/>
        </w:rPr>
      </w:pPr>
    </w:p>
    <w:p w:rsidR="00B4767A" w:rsidRDefault="00175AD1" w:rsidP="00175AD1">
      <w:pPr>
        <w:pStyle w:val="ListParagraph"/>
        <w:spacing w:after="0" w:line="240" w:lineRule="auto"/>
        <w:ind w:left="0" w:right="-634"/>
        <w:rPr>
          <w:rFonts w:ascii="Times New Roman" w:hAnsi="Times New Roman" w:cs="Times New Roman"/>
          <w:u w:val="none"/>
        </w:rPr>
        <w:sectPr w:rsidR="00B4767A">
          <w:headerReference w:type="first" r:id="rId8"/>
          <w:pgSz w:w="12240" w:h="15840"/>
          <w:pgMar w:top="1440" w:right="1440" w:bottom="1440" w:left="1440" w:gutter="0"/>
          <w:pgBorders w:offsetFrom="page">
            <w:top w:val="single" w:sz="4" w:space="24" w:color="auto"/>
            <w:left w:val="single" w:sz="4" w:space="24" w:color="auto"/>
            <w:bottom w:val="single" w:sz="4" w:space="24" w:color="auto"/>
            <w:right w:val="single" w:sz="4" w:space="24" w:color="auto"/>
          </w:pgBorders>
          <w:titlePg/>
          <w:docGrid w:linePitch="360"/>
        </w:sectPr>
      </w:pPr>
      <w:r>
        <w:rPr>
          <w:rFonts w:ascii="Times New Roman" w:hAnsi="Times New Roman" w:cs="Times New Roman"/>
          <w:u w:val="none"/>
        </w:rPr>
        <w:t xml:space="preserve">Used for reporting a taxpayer’s interest in a foreign company.  The reporting requirement is triggered in various scenarios, including </w:t>
      </w:r>
      <w:r w:rsidRPr="00175AD1">
        <w:rPr>
          <w:rFonts w:ascii="Times New Roman" w:hAnsi="Times New Roman" w:cs="Times New Roman"/>
          <w:b/>
          <w:i/>
          <w:u w:val="none"/>
        </w:rPr>
        <w:t>but not limited to</w:t>
      </w:r>
      <w:r>
        <w:rPr>
          <w:rFonts w:ascii="Times New Roman" w:hAnsi="Times New Roman" w:cs="Times New Roman"/>
          <w:u w:val="none"/>
        </w:rPr>
        <w:t xml:space="preserve"> when the individual directly, indirectly, or constructively (i) controls a foreign company, (ii) owns 10% or more of the foreign company’s stock if the company is controlled by “U.S. shareholders,” or (iii) acquires 10% or more of a foreign company’s stock and is an officer or director of the foreign company.  Depending on how the reporting requirement is triggered, the penalty is the same as Form 8938 and can result in the reduction of foreign tax credits.</w:t>
      </w:r>
    </w:p>
    <w:p w:rsidR="00BA71BD" w:rsidRDefault="00BA71BD" w:rsidP="00C917B0">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Form 8621</w:t>
      </w:r>
    </w:p>
    <w:p w:rsidR="00175AD1" w:rsidRDefault="00175AD1" w:rsidP="00175AD1">
      <w:pPr>
        <w:pStyle w:val="ListParagraph"/>
        <w:spacing w:after="0" w:line="240" w:lineRule="auto"/>
        <w:ind w:left="0" w:right="-634"/>
        <w:rPr>
          <w:rFonts w:ascii="Times New Roman" w:hAnsi="Times New Roman" w:cs="Times New Roman"/>
          <w:color w:val="2F5496" w:themeColor="accent1" w:themeShade="BF"/>
          <w:u w:val="none"/>
        </w:rPr>
      </w:pPr>
    </w:p>
    <w:p w:rsidR="00175AD1" w:rsidRDefault="00175AD1" w:rsidP="00175AD1">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Used for reporting a taxpayer’s</w:t>
      </w:r>
      <w:r w:rsidR="00687214">
        <w:rPr>
          <w:rFonts w:ascii="Times New Roman" w:hAnsi="Times New Roman" w:cs="Times New Roman"/>
          <w:u w:val="none"/>
        </w:rPr>
        <w:t xml:space="preserve"> direct or indirect</w:t>
      </w:r>
      <w:r>
        <w:rPr>
          <w:rFonts w:ascii="Times New Roman" w:hAnsi="Times New Roman" w:cs="Times New Roman"/>
          <w:u w:val="none"/>
        </w:rPr>
        <w:t xml:space="preserve"> interest in foreign companies known as “passive foreign investment companies” (PFIC).  PFICs are generally foreign companies </w:t>
      </w:r>
      <w:r w:rsidR="00687214">
        <w:rPr>
          <w:rFonts w:ascii="Times New Roman" w:hAnsi="Times New Roman" w:cs="Times New Roman"/>
          <w:u w:val="none"/>
        </w:rPr>
        <w:t xml:space="preserve">in </w:t>
      </w:r>
      <w:r>
        <w:rPr>
          <w:rFonts w:ascii="Times New Roman" w:hAnsi="Times New Roman" w:cs="Times New Roman"/>
          <w:u w:val="none"/>
        </w:rPr>
        <w:t>which (i)</w:t>
      </w:r>
      <w:r w:rsidR="00687214">
        <w:rPr>
          <w:rFonts w:ascii="Times New Roman" w:hAnsi="Times New Roman" w:cs="Times New Roman"/>
          <w:u w:val="none"/>
        </w:rPr>
        <w:t xml:space="preserve"> 75% or more of its income is passive income or (ii) 50% or more of the company’s assets produce passive income or are held for the production of passive income. </w:t>
      </w:r>
      <w:r w:rsidR="00B4767A">
        <w:rPr>
          <w:rFonts w:ascii="Times New Roman" w:hAnsi="Times New Roman" w:cs="Times New Roman"/>
          <w:u w:val="none"/>
        </w:rPr>
        <w:t xml:space="preserve">Most foreign mutual funds are PFICs.  </w:t>
      </w:r>
      <w:r w:rsidR="00687214">
        <w:rPr>
          <w:rFonts w:ascii="Times New Roman" w:hAnsi="Times New Roman" w:cs="Times New Roman"/>
          <w:u w:val="none"/>
        </w:rPr>
        <w:t xml:space="preserve">There is no specific penalty associated with this form.  </w:t>
      </w:r>
      <w:r>
        <w:rPr>
          <w:rFonts w:ascii="Times New Roman" w:hAnsi="Times New Roman" w:cs="Times New Roman"/>
          <w:u w:val="none"/>
        </w:rPr>
        <w:t xml:space="preserve"> </w:t>
      </w:r>
    </w:p>
    <w:p w:rsidR="00175AD1" w:rsidRPr="00175AD1" w:rsidRDefault="00175AD1" w:rsidP="00175AD1">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 xml:space="preserve">  </w:t>
      </w:r>
    </w:p>
    <w:p w:rsidR="00BA71BD" w:rsidRDefault="00BA71BD" w:rsidP="00C917B0">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Form 926</w:t>
      </w:r>
    </w:p>
    <w:p w:rsidR="00687214" w:rsidRDefault="00687214" w:rsidP="00687214">
      <w:pPr>
        <w:pStyle w:val="ListParagraph"/>
        <w:spacing w:after="0" w:line="240" w:lineRule="auto"/>
        <w:ind w:left="0" w:right="-634"/>
        <w:rPr>
          <w:rFonts w:ascii="Times New Roman" w:hAnsi="Times New Roman" w:cs="Times New Roman"/>
          <w:color w:val="2F5496" w:themeColor="accent1" w:themeShade="BF"/>
          <w:u w:val="none"/>
        </w:rPr>
      </w:pPr>
    </w:p>
    <w:p w:rsidR="00687214" w:rsidRDefault="00687214" w:rsidP="00687214">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 xml:space="preserve">Used for reporting </w:t>
      </w:r>
      <w:r w:rsidR="00D56504">
        <w:rPr>
          <w:rFonts w:ascii="Times New Roman" w:hAnsi="Times New Roman" w:cs="Times New Roman"/>
          <w:u w:val="none"/>
        </w:rPr>
        <w:t xml:space="preserve">certain </w:t>
      </w:r>
      <w:r>
        <w:rPr>
          <w:rFonts w:ascii="Times New Roman" w:hAnsi="Times New Roman" w:cs="Times New Roman"/>
          <w:u w:val="none"/>
        </w:rPr>
        <w:t xml:space="preserve">transfers to </w:t>
      </w:r>
      <w:r w:rsidR="00D56504">
        <w:rPr>
          <w:rFonts w:ascii="Times New Roman" w:hAnsi="Times New Roman" w:cs="Times New Roman"/>
          <w:u w:val="none"/>
        </w:rPr>
        <w:t xml:space="preserve">a </w:t>
      </w:r>
      <w:r>
        <w:rPr>
          <w:rFonts w:ascii="Times New Roman" w:hAnsi="Times New Roman" w:cs="Times New Roman"/>
          <w:u w:val="none"/>
        </w:rPr>
        <w:t>foreign corporation</w:t>
      </w:r>
      <w:r w:rsidR="00D56504">
        <w:rPr>
          <w:rFonts w:ascii="Times New Roman" w:hAnsi="Times New Roman" w:cs="Times New Roman"/>
          <w:u w:val="none"/>
        </w:rPr>
        <w:t xml:space="preserve">, including contribution to capital and liquidating distributions.  The penalty is 10% of the fair market value of the property transferred </w:t>
      </w:r>
      <w:r w:rsidR="00B4767A">
        <w:rPr>
          <w:rFonts w:ascii="Times New Roman" w:hAnsi="Times New Roman" w:cs="Times New Roman"/>
          <w:u w:val="none"/>
        </w:rPr>
        <w:t xml:space="preserve">- </w:t>
      </w:r>
      <w:r w:rsidR="00D56504">
        <w:rPr>
          <w:rFonts w:ascii="Times New Roman" w:hAnsi="Times New Roman" w:cs="Times New Roman"/>
          <w:u w:val="none"/>
        </w:rPr>
        <w:t>capped at $100,000 unless the failure is due to willful neglect.</w:t>
      </w:r>
      <w:r>
        <w:rPr>
          <w:rFonts w:ascii="Times New Roman" w:hAnsi="Times New Roman" w:cs="Times New Roman"/>
          <w:u w:val="none"/>
        </w:rPr>
        <w:t xml:space="preserve"> </w:t>
      </w:r>
    </w:p>
    <w:p w:rsidR="00687214" w:rsidRPr="00687214" w:rsidRDefault="00687214" w:rsidP="00687214">
      <w:pPr>
        <w:pStyle w:val="ListParagraph"/>
        <w:spacing w:after="0" w:line="240" w:lineRule="auto"/>
        <w:ind w:left="0" w:right="-634"/>
        <w:rPr>
          <w:rFonts w:ascii="Times New Roman" w:hAnsi="Times New Roman" w:cs="Times New Roman"/>
          <w:u w:val="none"/>
        </w:rPr>
      </w:pPr>
    </w:p>
    <w:p w:rsidR="00BA71BD" w:rsidRDefault="00BA71BD" w:rsidP="00C917B0">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Form 3520</w:t>
      </w:r>
    </w:p>
    <w:p w:rsidR="00D56504" w:rsidRDefault="00D56504" w:rsidP="00D56504">
      <w:pPr>
        <w:pStyle w:val="ListParagraph"/>
        <w:spacing w:after="0" w:line="240" w:lineRule="auto"/>
        <w:ind w:left="0" w:right="-634"/>
        <w:rPr>
          <w:rFonts w:ascii="Times New Roman" w:hAnsi="Times New Roman" w:cs="Times New Roman"/>
          <w:color w:val="2F5496" w:themeColor="accent1" w:themeShade="BF"/>
          <w:u w:val="none"/>
        </w:rPr>
      </w:pPr>
    </w:p>
    <w:p w:rsidR="00D56504" w:rsidRDefault="00D56504" w:rsidP="00D56504">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 xml:space="preserve">Used for reporting certain transactions with foreign trusts and the receipt of large gifts or bequests from a foreign person.  As to large gifts or bequests, the reporting requirement is triggered when the amount is over $100,000 from a foreign individual or foreign estate or over $15,797 from a foreign company or foreign partnership.  </w:t>
      </w:r>
      <w:r w:rsidR="00110022">
        <w:rPr>
          <w:rFonts w:ascii="Times New Roman" w:hAnsi="Times New Roman" w:cs="Times New Roman"/>
          <w:u w:val="none"/>
        </w:rPr>
        <w:t xml:space="preserve">The penalty for the failure to file Form 3520 depends on the </w:t>
      </w:r>
      <w:r>
        <w:rPr>
          <w:rFonts w:ascii="Times New Roman" w:hAnsi="Times New Roman" w:cs="Times New Roman"/>
          <w:u w:val="none"/>
        </w:rPr>
        <w:t>event triggering the reporting requirement</w:t>
      </w:r>
      <w:r w:rsidR="00110022">
        <w:rPr>
          <w:rFonts w:ascii="Times New Roman" w:hAnsi="Times New Roman" w:cs="Times New Roman"/>
          <w:u w:val="none"/>
        </w:rPr>
        <w:t>. For example,</w:t>
      </w:r>
      <w:r>
        <w:rPr>
          <w:rFonts w:ascii="Times New Roman" w:hAnsi="Times New Roman" w:cs="Times New Roman"/>
          <w:u w:val="none"/>
        </w:rPr>
        <w:t xml:space="preserve"> </w:t>
      </w:r>
      <w:r w:rsidR="00110022">
        <w:rPr>
          <w:rFonts w:ascii="Times New Roman" w:hAnsi="Times New Roman" w:cs="Times New Roman"/>
          <w:u w:val="none"/>
        </w:rPr>
        <w:t>the penalty could be a minimum of $10,000, 35% of the gross value of the property transferred to the foreign trust, or 5% of the gift for each month of continued noncompliance up to 25%.</w:t>
      </w:r>
    </w:p>
    <w:p w:rsidR="00D56504" w:rsidRPr="00D56504" w:rsidRDefault="00D56504" w:rsidP="00D56504">
      <w:pPr>
        <w:pStyle w:val="ListParagraph"/>
        <w:spacing w:after="0" w:line="240" w:lineRule="auto"/>
        <w:ind w:left="0" w:right="-634"/>
        <w:rPr>
          <w:rFonts w:ascii="Times New Roman" w:hAnsi="Times New Roman" w:cs="Times New Roman"/>
          <w:u w:val="none"/>
        </w:rPr>
      </w:pPr>
    </w:p>
    <w:p w:rsidR="00BA71BD" w:rsidRDefault="00BA71BD" w:rsidP="00C917B0">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Form 3520-A</w:t>
      </w:r>
    </w:p>
    <w:p w:rsidR="00BA71BD" w:rsidRDefault="00BA71BD" w:rsidP="00BA71BD">
      <w:pPr>
        <w:pStyle w:val="ListParagraph"/>
        <w:spacing w:after="0" w:line="240" w:lineRule="auto"/>
        <w:ind w:left="0" w:right="-634"/>
        <w:rPr>
          <w:rFonts w:ascii="Times New Roman" w:hAnsi="Times New Roman" w:cs="Times New Roman"/>
          <w:color w:val="2F5496" w:themeColor="accent1" w:themeShade="BF"/>
          <w:u w:val="none"/>
        </w:rPr>
      </w:pPr>
    </w:p>
    <w:p w:rsidR="00110022" w:rsidRDefault="00110022" w:rsidP="00BA71BD">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 xml:space="preserve">Used by foreign trusts for reporting when a U.S. person is treated as </w:t>
      </w:r>
      <w:r w:rsidR="00B4767A">
        <w:rPr>
          <w:rFonts w:ascii="Times New Roman" w:hAnsi="Times New Roman" w:cs="Times New Roman"/>
          <w:u w:val="none"/>
        </w:rPr>
        <w:t xml:space="preserve">the </w:t>
      </w:r>
      <w:r>
        <w:rPr>
          <w:rFonts w:ascii="Times New Roman" w:hAnsi="Times New Roman" w:cs="Times New Roman"/>
          <w:u w:val="none"/>
        </w:rPr>
        <w:t xml:space="preserve">owner of the trust asset/income </w:t>
      </w:r>
      <w:r w:rsidR="00B4767A">
        <w:rPr>
          <w:rFonts w:ascii="Times New Roman" w:hAnsi="Times New Roman" w:cs="Times New Roman"/>
          <w:u w:val="none"/>
        </w:rPr>
        <w:t xml:space="preserve">pursuant to U.S. tax law </w:t>
      </w:r>
      <w:r>
        <w:rPr>
          <w:rFonts w:ascii="Times New Roman" w:hAnsi="Times New Roman" w:cs="Times New Roman"/>
          <w:u w:val="none"/>
        </w:rPr>
        <w:t xml:space="preserve">and for providing information to U.S. beneficiaries.  The penalty imposed on the U.S. owner is the greater of $10,000 or 5% of the gross value of the foreign trust’s assets treated as owned by the U.S. person.  </w:t>
      </w:r>
    </w:p>
    <w:p w:rsidR="00110022" w:rsidRPr="00110022" w:rsidRDefault="00110022" w:rsidP="00BA71BD">
      <w:pPr>
        <w:pStyle w:val="ListParagraph"/>
        <w:spacing w:after="0" w:line="240" w:lineRule="auto"/>
        <w:ind w:left="0" w:right="-634"/>
        <w:rPr>
          <w:rFonts w:ascii="Times New Roman" w:hAnsi="Times New Roman" w:cs="Times New Roman"/>
          <w:u w:val="none"/>
        </w:rPr>
      </w:pPr>
    </w:p>
    <w:p w:rsidR="00C917B0" w:rsidRDefault="00993FCC" w:rsidP="00C917B0">
      <w:pPr>
        <w:spacing w:after="0" w:line="240" w:lineRule="auto"/>
        <w:ind w:left="-720" w:right="-634"/>
        <w:rPr>
          <w:rFonts w:ascii="Times New Roman" w:hAnsi="Times New Roman" w:cs="Times New Roman"/>
          <w:b/>
          <w:color w:val="2F5496" w:themeColor="accent1" w:themeShade="BF"/>
          <w:u w:val="none"/>
        </w:rPr>
      </w:pPr>
      <w:r>
        <w:rPr>
          <w:rFonts w:ascii="Times New Roman" w:hAnsi="Times New Roman" w:cs="Times New Roman"/>
          <w:b/>
          <w:color w:val="2F5496" w:themeColor="accent1" w:themeShade="BF"/>
          <w:u w:val="none"/>
        </w:rPr>
        <w:t>ADDITIONAL</w:t>
      </w:r>
      <w:r w:rsidR="00C917B0">
        <w:rPr>
          <w:rFonts w:ascii="Times New Roman" w:hAnsi="Times New Roman" w:cs="Times New Roman"/>
          <w:b/>
          <w:color w:val="2F5496" w:themeColor="accent1" w:themeShade="BF"/>
          <w:u w:val="none"/>
        </w:rPr>
        <w:t xml:space="preserve"> CONSEQUENCES OF NONCOMPLIANCE</w:t>
      </w:r>
    </w:p>
    <w:p w:rsidR="00110022" w:rsidRDefault="00110022" w:rsidP="00C917B0">
      <w:pPr>
        <w:spacing w:after="0" w:line="240" w:lineRule="auto"/>
        <w:ind w:left="-720" w:right="-634"/>
        <w:rPr>
          <w:rFonts w:ascii="Times New Roman" w:hAnsi="Times New Roman" w:cs="Times New Roman"/>
          <w:b/>
          <w:color w:val="2F5496" w:themeColor="accent1" w:themeShade="BF"/>
          <w:u w:val="none"/>
        </w:rPr>
      </w:pPr>
    </w:p>
    <w:p w:rsidR="00110022" w:rsidRDefault="00110022" w:rsidP="00110022">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Statute of Limitations</w:t>
      </w:r>
    </w:p>
    <w:p w:rsidR="00110022" w:rsidRDefault="00110022" w:rsidP="00110022">
      <w:pPr>
        <w:spacing w:after="0" w:line="240" w:lineRule="auto"/>
        <w:ind w:right="-634"/>
        <w:rPr>
          <w:rFonts w:ascii="Times New Roman" w:hAnsi="Times New Roman" w:cs="Times New Roman"/>
          <w:u w:val="none"/>
        </w:rPr>
      </w:pPr>
    </w:p>
    <w:p w:rsidR="00110022" w:rsidRDefault="00110022" w:rsidP="00110022">
      <w:pPr>
        <w:pStyle w:val="ListParagraph"/>
        <w:numPr>
          <w:ilvl w:val="0"/>
          <w:numId w:val="3"/>
        </w:numPr>
        <w:spacing w:after="0" w:line="240" w:lineRule="auto"/>
        <w:ind w:left="360" w:right="-634"/>
        <w:rPr>
          <w:rFonts w:ascii="Times New Roman" w:hAnsi="Times New Roman" w:cs="Times New Roman"/>
          <w:u w:val="none"/>
        </w:rPr>
      </w:pPr>
      <w:r>
        <w:rPr>
          <w:rFonts w:ascii="Times New Roman" w:hAnsi="Times New Roman" w:cs="Times New Roman"/>
          <w:u w:val="none"/>
        </w:rPr>
        <w:t>Other than the FBAR, the statute of limitations for assessing penalties for the failure to file an accurate information reporting form does not begin until three years after the form is filed.</w:t>
      </w:r>
    </w:p>
    <w:p w:rsidR="00110022" w:rsidRDefault="00110022" w:rsidP="00110022">
      <w:pPr>
        <w:pStyle w:val="ListParagraph"/>
        <w:spacing w:after="0" w:line="240" w:lineRule="auto"/>
        <w:ind w:left="360" w:right="-634"/>
        <w:rPr>
          <w:rFonts w:ascii="Times New Roman" w:hAnsi="Times New Roman" w:cs="Times New Roman"/>
          <w:u w:val="none"/>
        </w:rPr>
      </w:pPr>
    </w:p>
    <w:p w:rsidR="00110022" w:rsidRDefault="00110022" w:rsidP="00110022">
      <w:pPr>
        <w:pStyle w:val="ListParagraph"/>
        <w:numPr>
          <w:ilvl w:val="0"/>
          <w:numId w:val="3"/>
        </w:numPr>
        <w:spacing w:after="0" w:line="240" w:lineRule="auto"/>
        <w:ind w:left="360" w:right="-634"/>
        <w:rPr>
          <w:rFonts w:ascii="Times New Roman" w:hAnsi="Times New Roman" w:cs="Times New Roman"/>
          <w:u w:val="none"/>
        </w:rPr>
      </w:pPr>
      <w:r>
        <w:rPr>
          <w:rFonts w:ascii="Times New Roman" w:hAnsi="Times New Roman" w:cs="Times New Roman"/>
          <w:u w:val="none"/>
        </w:rPr>
        <w:t>As to the failure to file</w:t>
      </w:r>
      <w:r w:rsidR="00993FCC">
        <w:rPr>
          <w:rFonts w:ascii="Times New Roman" w:hAnsi="Times New Roman" w:cs="Times New Roman"/>
          <w:u w:val="none"/>
        </w:rPr>
        <w:t xml:space="preserve"> certain information returns, e.g. Form 8938 and Form 5471, the statute of limitations remains open on the </w:t>
      </w:r>
      <w:r w:rsidR="00993FCC" w:rsidRPr="00993FCC">
        <w:rPr>
          <w:rFonts w:ascii="Times New Roman" w:hAnsi="Times New Roman" w:cs="Times New Roman"/>
          <w:b/>
          <w:i/>
          <w:u w:val="none"/>
        </w:rPr>
        <w:t>entire</w:t>
      </w:r>
      <w:r w:rsidR="00993FCC">
        <w:rPr>
          <w:rFonts w:ascii="Times New Roman" w:hAnsi="Times New Roman" w:cs="Times New Roman"/>
          <w:b/>
          <w:u w:val="none"/>
        </w:rPr>
        <w:t xml:space="preserve"> </w:t>
      </w:r>
      <w:r w:rsidR="00993FCC">
        <w:rPr>
          <w:rFonts w:ascii="Times New Roman" w:hAnsi="Times New Roman" w:cs="Times New Roman"/>
          <w:u w:val="none"/>
        </w:rPr>
        <w:t>income tax return until three years after the information return is filed.</w:t>
      </w:r>
    </w:p>
    <w:p w:rsidR="00993FCC" w:rsidRPr="00993FCC" w:rsidRDefault="00993FCC" w:rsidP="00993FCC">
      <w:pPr>
        <w:pStyle w:val="ListParagraph"/>
        <w:rPr>
          <w:rFonts w:ascii="Times New Roman" w:hAnsi="Times New Roman" w:cs="Times New Roman"/>
          <w:u w:val="none"/>
        </w:rPr>
      </w:pPr>
    </w:p>
    <w:p w:rsidR="00110022" w:rsidRDefault="00110022" w:rsidP="00110022">
      <w:pPr>
        <w:pStyle w:val="ListParagraph"/>
        <w:numPr>
          <w:ilvl w:val="0"/>
          <w:numId w:val="2"/>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Increased Penalty on Income Tax Deficiency</w:t>
      </w:r>
    </w:p>
    <w:p w:rsidR="00993FCC" w:rsidRDefault="00993FCC" w:rsidP="00993FCC">
      <w:pPr>
        <w:spacing w:after="0" w:line="240" w:lineRule="auto"/>
        <w:ind w:right="-634"/>
        <w:rPr>
          <w:rFonts w:ascii="Times New Roman" w:hAnsi="Times New Roman" w:cs="Times New Roman"/>
          <w:color w:val="2F5496" w:themeColor="accent1" w:themeShade="BF"/>
          <w:u w:val="none"/>
        </w:rPr>
      </w:pPr>
    </w:p>
    <w:p w:rsidR="00B4767A" w:rsidRDefault="00993FCC" w:rsidP="00993FCC">
      <w:pPr>
        <w:spacing w:after="0" w:line="240" w:lineRule="auto"/>
        <w:ind w:right="-634"/>
        <w:rPr>
          <w:rFonts w:ascii="Times New Roman" w:hAnsi="Times New Roman" w:cs="Times New Roman"/>
          <w:u w:val="none"/>
        </w:rPr>
      </w:pPr>
      <w:r>
        <w:rPr>
          <w:rFonts w:ascii="Times New Roman" w:hAnsi="Times New Roman" w:cs="Times New Roman"/>
          <w:u w:val="none"/>
        </w:rPr>
        <w:t xml:space="preserve">When a taxpayer files an inaccurate return and there is a tax deficiency, the penalty is generally 20% of the tax deficiency.  Where the tax deficiency is attributed to certain foreign assets, the penalty is </w:t>
      </w:r>
    </w:p>
    <w:p w:rsidR="00993FCC" w:rsidRDefault="00993FCC" w:rsidP="00993FCC">
      <w:pPr>
        <w:spacing w:after="0" w:line="240" w:lineRule="auto"/>
        <w:ind w:right="-634"/>
        <w:rPr>
          <w:rFonts w:ascii="Times New Roman" w:hAnsi="Times New Roman" w:cs="Times New Roman"/>
          <w:u w:val="none"/>
        </w:rPr>
      </w:pPr>
      <w:r>
        <w:rPr>
          <w:rFonts w:ascii="Times New Roman" w:hAnsi="Times New Roman" w:cs="Times New Roman"/>
          <w:u w:val="none"/>
        </w:rPr>
        <w:t>increased to 40%.</w:t>
      </w:r>
    </w:p>
    <w:p w:rsidR="00993FCC" w:rsidRPr="00993FCC" w:rsidRDefault="00993FCC" w:rsidP="00993FCC">
      <w:pPr>
        <w:spacing w:after="0" w:line="240" w:lineRule="auto"/>
        <w:ind w:right="-634"/>
        <w:rPr>
          <w:rFonts w:ascii="Times New Roman" w:hAnsi="Times New Roman" w:cs="Times New Roman"/>
          <w:u w:val="none"/>
        </w:rPr>
      </w:pPr>
    </w:p>
    <w:p w:rsidR="00C917B0" w:rsidRDefault="00C917B0" w:rsidP="00C917B0">
      <w:pPr>
        <w:spacing w:after="0" w:line="240" w:lineRule="auto"/>
        <w:ind w:left="-720" w:right="-634"/>
        <w:rPr>
          <w:rFonts w:ascii="Times New Roman" w:hAnsi="Times New Roman" w:cs="Times New Roman"/>
          <w:b/>
          <w:color w:val="2F5496" w:themeColor="accent1" w:themeShade="BF"/>
          <w:u w:val="none"/>
        </w:rPr>
      </w:pPr>
      <w:r>
        <w:rPr>
          <w:rFonts w:ascii="Times New Roman" w:hAnsi="Times New Roman" w:cs="Times New Roman"/>
          <w:b/>
          <w:color w:val="2F5496" w:themeColor="accent1" w:themeShade="BF"/>
          <w:u w:val="none"/>
        </w:rPr>
        <w:t>OPTIONS FOR COMING INTO COMPLIANCE</w:t>
      </w:r>
    </w:p>
    <w:p w:rsidR="00B4767A" w:rsidRDefault="00B4767A" w:rsidP="00B4767A">
      <w:pPr>
        <w:spacing w:after="0" w:line="240" w:lineRule="auto"/>
        <w:ind w:right="-634"/>
        <w:rPr>
          <w:rFonts w:ascii="Times New Roman" w:hAnsi="Times New Roman" w:cs="Times New Roman"/>
          <w:b/>
          <w:color w:val="2F5496" w:themeColor="accent1" w:themeShade="BF"/>
          <w:u w:val="none"/>
        </w:rPr>
      </w:pPr>
    </w:p>
    <w:p w:rsidR="00993FCC" w:rsidRDefault="00993FCC" w:rsidP="00993FCC">
      <w:pPr>
        <w:pStyle w:val="ListParagraph"/>
        <w:numPr>
          <w:ilvl w:val="0"/>
          <w:numId w:val="4"/>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Offshore Voluntary Compliance Program</w:t>
      </w:r>
    </w:p>
    <w:p w:rsidR="00B4767A" w:rsidRDefault="00B4767A" w:rsidP="00B4767A">
      <w:pPr>
        <w:pStyle w:val="ListParagraph"/>
        <w:spacing w:after="0" w:line="240" w:lineRule="auto"/>
        <w:ind w:left="0" w:right="-634"/>
        <w:rPr>
          <w:rFonts w:ascii="Times New Roman" w:hAnsi="Times New Roman" w:cs="Times New Roman"/>
          <w:color w:val="2F5496" w:themeColor="accent1" w:themeShade="BF"/>
          <w:u w:val="none"/>
        </w:rPr>
      </w:pPr>
    </w:p>
    <w:p w:rsidR="00993FCC" w:rsidRDefault="00993FCC" w:rsidP="00993FCC">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This program is typically reserved for taxpayers whose noncompliance is willful or criminal.  As part of participating in the program, the taxpayer is generally required to:</w:t>
      </w:r>
    </w:p>
    <w:p w:rsidR="00993FCC" w:rsidRDefault="00993FCC" w:rsidP="00993FCC">
      <w:pPr>
        <w:pStyle w:val="ListParagraph"/>
        <w:spacing w:after="0" w:line="240" w:lineRule="auto"/>
        <w:ind w:left="0" w:right="-634"/>
        <w:rPr>
          <w:rFonts w:ascii="Times New Roman" w:hAnsi="Times New Roman" w:cs="Times New Roman"/>
          <w:u w:val="none"/>
        </w:rPr>
      </w:pPr>
    </w:p>
    <w:p w:rsidR="00993FCC" w:rsidRDefault="00993FCC" w:rsidP="00993FCC">
      <w:pPr>
        <w:pStyle w:val="ListParagraph"/>
        <w:numPr>
          <w:ilvl w:val="0"/>
          <w:numId w:val="5"/>
        </w:numPr>
        <w:spacing w:after="0" w:line="240" w:lineRule="auto"/>
        <w:ind w:left="360" w:right="-634"/>
        <w:rPr>
          <w:rFonts w:ascii="Times New Roman" w:hAnsi="Times New Roman" w:cs="Times New Roman"/>
          <w:u w:val="none"/>
        </w:rPr>
      </w:pPr>
      <w:r>
        <w:rPr>
          <w:rFonts w:ascii="Times New Roman" w:hAnsi="Times New Roman" w:cs="Times New Roman"/>
          <w:u w:val="none"/>
        </w:rPr>
        <w:t>file/amend</w:t>
      </w:r>
      <w:r w:rsidR="00285EE7">
        <w:rPr>
          <w:rFonts w:ascii="Times New Roman" w:hAnsi="Times New Roman" w:cs="Times New Roman"/>
          <w:u w:val="none"/>
        </w:rPr>
        <w:t xml:space="preserve"> up to</w:t>
      </w:r>
      <w:r>
        <w:rPr>
          <w:rFonts w:ascii="Times New Roman" w:hAnsi="Times New Roman" w:cs="Times New Roman"/>
          <w:u w:val="none"/>
        </w:rPr>
        <w:t xml:space="preserve"> eight years (disclosure period) of income tax returns, associated information returns, and FBARs;</w:t>
      </w:r>
    </w:p>
    <w:p w:rsidR="00993FCC" w:rsidRDefault="00993FCC" w:rsidP="00993FCC">
      <w:pPr>
        <w:pStyle w:val="ListParagraph"/>
        <w:spacing w:after="0" w:line="240" w:lineRule="auto"/>
        <w:ind w:left="360" w:right="-634"/>
        <w:rPr>
          <w:rFonts w:ascii="Times New Roman" w:hAnsi="Times New Roman" w:cs="Times New Roman"/>
          <w:u w:val="none"/>
        </w:rPr>
      </w:pPr>
    </w:p>
    <w:p w:rsidR="00993FCC" w:rsidRDefault="00993FCC" w:rsidP="00993FCC">
      <w:pPr>
        <w:pStyle w:val="ListParagraph"/>
        <w:numPr>
          <w:ilvl w:val="0"/>
          <w:numId w:val="5"/>
        </w:numPr>
        <w:spacing w:after="0" w:line="240" w:lineRule="auto"/>
        <w:ind w:left="360" w:right="-634"/>
        <w:rPr>
          <w:rFonts w:ascii="Times New Roman" w:hAnsi="Times New Roman" w:cs="Times New Roman"/>
          <w:u w:val="none"/>
        </w:rPr>
      </w:pPr>
      <w:r>
        <w:rPr>
          <w:rFonts w:ascii="Times New Roman" w:hAnsi="Times New Roman" w:cs="Times New Roman"/>
          <w:u w:val="none"/>
        </w:rPr>
        <w:t>pay any resulting deficiency for the disclosure period, 20% penalty on the deficiency, late payment or late filing penalty, and interest on the deficiency;</w:t>
      </w:r>
    </w:p>
    <w:p w:rsidR="00993FCC" w:rsidRPr="00993FCC" w:rsidRDefault="00993FCC" w:rsidP="00993FCC">
      <w:pPr>
        <w:pStyle w:val="ListParagraph"/>
        <w:rPr>
          <w:rFonts w:ascii="Times New Roman" w:hAnsi="Times New Roman" w:cs="Times New Roman"/>
          <w:u w:val="none"/>
        </w:rPr>
      </w:pPr>
    </w:p>
    <w:p w:rsidR="00993FCC" w:rsidRDefault="00993FCC" w:rsidP="00993FCC">
      <w:pPr>
        <w:pStyle w:val="ListParagraph"/>
        <w:numPr>
          <w:ilvl w:val="0"/>
          <w:numId w:val="5"/>
        </w:numPr>
        <w:spacing w:after="0" w:line="240" w:lineRule="auto"/>
        <w:ind w:left="360" w:right="-634"/>
        <w:rPr>
          <w:rFonts w:ascii="Times New Roman" w:hAnsi="Times New Roman" w:cs="Times New Roman"/>
          <w:u w:val="none"/>
        </w:rPr>
      </w:pPr>
      <w:r>
        <w:rPr>
          <w:rFonts w:ascii="Times New Roman" w:hAnsi="Times New Roman" w:cs="Times New Roman"/>
          <w:u w:val="none"/>
        </w:rPr>
        <w:t>27.5% or 50% penalty</w:t>
      </w:r>
      <w:r w:rsidR="00285EE7">
        <w:rPr>
          <w:rFonts w:ascii="Times New Roman" w:hAnsi="Times New Roman" w:cs="Times New Roman"/>
          <w:u w:val="none"/>
        </w:rPr>
        <w:t xml:space="preserve"> based on the highest maximum value of noncompliant foreign assets during the disclosure period</w:t>
      </w:r>
      <w:r>
        <w:rPr>
          <w:rFonts w:ascii="Times New Roman" w:hAnsi="Times New Roman" w:cs="Times New Roman"/>
          <w:u w:val="none"/>
        </w:rPr>
        <w:t xml:space="preserve"> on the failure to file various information returns in lieu of the separate penalties for each form each year; and</w:t>
      </w:r>
    </w:p>
    <w:p w:rsidR="00993FCC" w:rsidRPr="00993FCC" w:rsidRDefault="00993FCC" w:rsidP="00993FCC">
      <w:pPr>
        <w:pStyle w:val="ListParagraph"/>
        <w:rPr>
          <w:rFonts w:ascii="Times New Roman" w:hAnsi="Times New Roman" w:cs="Times New Roman"/>
          <w:u w:val="none"/>
        </w:rPr>
      </w:pPr>
    </w:p>
    <w:p w:rsidR="00993FCC" w:rsidRDefault="00993FCC" w:rsidP="00993FCC">
      <w:pPr>
        <w:pStyle w:val="ListParagraph"/>
        <w:numPr>
          <w:ilvl w:val="0"/>
          <w:numId w:val="5"/>
        </w:numPr>
        <w:spacing w:after="0" w:line="240" w:lineRule="auto"/>
        <w:ind w:left="360" w:right="-634"/>
        <w:rPr>
          <w:rFonts w:ascii="Times New Roman" w:hAnsi="Times New Roman" w:cs="Times New Roman"/>
          <w:u w:val="none"/>
        </w:rPr>
      </w:pPr>
      <w:r>
        <w:rPr>
          <w:rFonts w:ascii="Times New Roman" w:hAnsi="Times New Roman" w:cs="Times New Roman"/>
          <w:u w:val="none"/>
        </w:rPr>
        <w:t xml:space="preserve">provide various documents as part of the submission. </w:t>
      </w:r>
    </w:p>
    <w:p w:rsidR="00B97DC0" w:rsidRDefault="00B97DC0" w:rsidP="00B97DC0">
      <w:pPr>
        <w:spacing w:after="0" w:line="240" w:lineRule="auto"/>
        <w:ind w:right="-634"/>
        <w:rPr>
          <w:rFonts w:ascii="Times New Roman" w:hAnsi="Times New Roman" w:cs="Times New Roman"/>
          <w:u w:val="none"/>
        </w:rPr>
      </w:pPr>
    </w:p>
    <w:p w:rsidR="00B97DC0" w:rsidRPr="00B97DC0" w:rsidRDefault="00B97DC0" w:rsidP="00B97DC0">
      <w:pPr>
        <w:spacing w:after="0" w:line="240" w:lineRule="auto"/>
        <w:ind w:right="-634"/>
        <w:rPr>
          <w:rFonts w:ascii="Times New Roman" w:hAnsi="Times New Roman" w:cs="Times New Roman"/>
          <w:u w:val="none"/>
        </w:rPr>
      </w:pPr>
      <w:r>
        <w:rPr>
          <w:rFonts w:ascii="Times New Roman" w:hAnsi="Times New Roman" w:cs="Times New Roman"/>
          <w:u w:val="none"/>
        </w:rPr>
        <w:t>This program will be closed on September 28, 2018.</w:t>
      </w:r>
    </w:p>
    <w:p w:rsidR="00993FCC" w:rsidRPr="00993FCC" w:rsidRDefault="00993FCC" w:rsidP="00993FCC">
      <w:pPr>
        <w:pStyle w:val="ListParagraph"/>
        <w:spacing w:after="0" w:line="240" w:lineRule="auto"/>
        <w:ind w:left="360" w:right="-634"/>
        <w:rPr>
          <w:rFonts w:ascii="Times New Roman" w:hAnsi="Times New Roman" w:cs="Times New Roman"/>
          <w:u w:val="none"/>
        </w:rPr>
      </w:pPr>
    </w:p>
    <w:p w:rsidR="00993FCC" w:rsidRDefault="00993FCC" w:rsidP="00993FCC">
      <w:pPr>
        <w:pStyle w:val="ListParagraph"/>
        <w:numPr>
          <w:ilvl w:val="0"/>
          <w:numId w:val="4"/>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 xml:space="preserve">Streamlined Filing Compliance Procedure </w:t>
      </w:r>
    </w:p>
    <w:p w:rsidR="00993FCC" w:rsidRDefault="00993FCC" w:rsidP="00993FCC">
      <w:pPr>
        <w:pStyle w:val="ListParagraph"/>
        <w:spacing w:after="0" w:line="240" w:lineRule="auto"/>
        <w:ind w:left="0" w:right="-634"/>
        <w:rPr>
          <w:rFonts w:ascii="Times New Roman" w:hAnsi="Times New Roman" w:cs="Times New Roman"/>
          <w:color w:val="2F5496" w:themeColor="accent1" w:themeShade="BF"/>
          <w:u w:val="none"/>
        </w:rPr>
      </w:pPr>
    </w:p>
    <w:p w:rsidR="00993FCC" w:rsidRDefault="00993FCC" w:rsidP="00993FCC">
      <w:pPr>
        <w:pStyle w:val="ListParagraph"/>
        <w:spacing w:after="0" w:line="240" w:lineRule="auto"/>
        <w:ind w:left="0" w:right="-634"/>
        <w:rPr>
          <w:rFonts w:ascii="Times New Roman" w:hAnsi="Times New Roman" w:cs="Times New Roman"/>
          <w:u w:val="none"/>
        </w:rPr>
      </w:pPr>
      <w:r>
        <w:rPr>
          <w:rFonts w:ascii="Times New Roman" w:hAnsi="Times New Roman" w:cs="Times New Roman"/>
          <w:u w:val="none"/>
        </w:rPr>
        <w:t>This program is reserved for taxpayers whose noncompliance is not willful.  As part of pa</w:t>
      </w:r>
      <w:r w:rsidR="00285EE7">
        <w:rPr>
          <w:rFonts w:ascii="Times New Roman" w:hAnsi="Times New Roman" w:cs="Times New Roman"/>
          <w:u w:val="none"/>
        </w:rPr>
        <w:t>rticipating in the program, the taxpayer is generally required to:</w:t>
      </w:r>
    </w:p>
    <w:p w:rsidR="00285EE7" w:rsidRDefault="00285EE7" w:rsidP="00993FCC">
      <w:pPr>
        <w:pStyle w:val="ListParagraph"/>
        <w:spacing w:after="0" w:line="240" w:lineRule="auto"/>
        <w:ind w:left="0" w:right="-634"/>
        <w:rPr>
          <w:rFonts w:ascii="Times New Roman" w:hAnsi="Times New Roman" w:cs="Times New Roman"/>
          <w:u w:val="none"/>
        </w:rPr>
      </w:pPr>
    </w:p>
    <w:p w:rsidR="00285EE7" w:rsidRDefault="00285EE7" w:rsidP="00285EE7">
      <w:pPr>
        <w:pStyle w:val="ListParagraph"/>
        <w:numPr>
          <w:ilvl w:val="0"/>
          <w:numId w:val="6"/>
        </w:numPr>
        <w:spacing w:after="0" w:line="240" w:lineRule="auto"/>
        <w:ind w:left="360" w:right="-634"/>
        <w:rPr>
          <w:rFonts w:ascii="Times New Roman" w:hAnsi="Times New Roman" w:cs="Times New Roman"/>
          <w:u w:val="none"/>
        </w:rPr>
      </w:pPr>
      <w:r>
        <w:rPr>
          <w:rFonts w:ascii="Times New Roman" w:hAnsi="Times New Roman" w:cs="Times New Roman"/>
          <w:u w:val="none"/>
        </w:rPr>
        <w:t>file or amend up to three years of income tax returns, associated information returns;</w:t>
      </w:r>
    </w:p>
    <w:p w:rsidR="00285EE7" w:rsidRDefault="00285EE7" w:rsidP="00285EE7">
      <w:pPr>
        <w:pStyle w:val="ListParagraph"/>
        <w:spacing w:after="0" w:line="240" w:lineRule="auto"/>
        <w:ind w:left="360" w:right="-634"/>
        <w:rPr>
          <w:rFonts w:ascii="Times New Roman" w:hAnsi="Times New Roman" w:cs="Times New Roman"/>
          <w:u w:val="none"/>
        </w:rPr>
      </w:pPr>
    </w:p>
    <w:p w:rsidR="00285EE7" w:rsidRDefault="00285EE7" w:rsidP="00285EE7">
      <w:pPr>
        <w:pStyle w:val="ListParagraph"/>
        <w:numPr>
          <w:ilvl w:val="0"/>
          <w:numId w:val="6"/>
        </w:numPr>
        <w:spacing w:after="0" w:line="240" w:lineRule="auto"/>
        <w:ind w:left="360" w:right="-634"/>
        <w:rPr>
          <w:rFonts w:ascii="Times New Roman" w:hAnsi="Times New Roman" w:cs="Times New Roman"/>
          <w:u w:val="none"/>
        </w:rPr>
      </w:pPr>
      <w:r>
        <w:rPr>
          <w:rFonts w:ascii="Times New Roman" w:hAnsi="Times New Roman" w:cs="Times New Roman"/>
          <w:u w:val="none"/>
        </w:rPr>
        <w:t>file or amend six years of FBARs,</w:t>
      </w:r>
    </w:p>
    <w:p w:rsidR="00285EE7" w:rsidRDefault="00285EE7" w:rsidP="00285EE7">
      <w:pPr>
        <w:pStyle w:val="ListParagraph"/>
        <w:spacing w:after="0" w:line="240" w:lineRule="auto"/>
        <w:ind w:left="360" w:right="-634"/>
        <w:rPr>
          <w:rFonts w:ascii="Times New Roman" w:hAnsi="Times New Roman" w:cs="Times New Roman"/>
          <w:u w:val="none"/>
        </w:rPr>
      </w:pPr>
    </w:p>
    <w:p w:rsidR="00285EE7" w:rsidRDefault="00285EE7" w:rsidP="00285EE7">
      <w:pPr>
        <w:pStyle w:val="ListParagraph"/>
        <w:numPr>
          <w:ilvl w:val="0"/>
          <w:numId w:val="6"/>
        </w:numPr>
        <w:spacing w:after="0" w:line="240" w:lineRule="auto"/>
        <w:ind w:left="360" w:right="-634"/>
        <w:rPr>
          <w:rFonts w:ascii="Times New Roman" w:hAnsi="Times New Roman" w:cs="Times New Roman"/>
          <w:u w:val="none"/>
        </w:rPr>
      </w:pPr>
      <w:r>
        <w:rPr>
          <w:rFonts w:ascii="Times New Roman" w:hAnsi="Times New Roman" w:cs="Times New Roman"/>
          <w:u w:val="none"/>
        </w:rPr>
        <w:t>pay any resulting tax deficiency with interest for the years for which income tax returns are filed/amended; and</w:t>
      </w:r>
    </w:p>
    <w:p w:rsidR="00285EE7" w:rsidRPr="00285EE7" w:rsidRDefault="00285EE7" w:rsidP="00285EE7">
      <w:pPr>
        <w:pStyle w:val="ListParagraph"/>
        <w:rPr>
          <w:rFonts w:ascii="Times New Roman" w:hAnsi="Times New Roman" w:cs="Times New Roman"/>
          <w:u w:val="none"/>
        </w:rPr>
      </w:pPr>
    </w:p>
    <w:p w:rsidR="00285EE7" w:rsidRDefault="00285EE7" w:rsidP="00285EE7">
      <w:pPr>
        <w:pStyle w:val="ListParagraph"/>
        <w:numPr>
          <w:ilvl w:val="0"/>
          <w:numId w:val="6"/>
        </w:numPr>
        <w:spacing w:after="0" w:line="240" w:lineRule="auto"/>
        <w:ind w:left="360" w:right="-634"/>
        <w:rPr>
          <w:rFonts w:ascii="Times New Roman" w:hAnsi="Times New Roman" w:cs="Times New Roman"/>
          <w:u w:val="none"/>
        </w:rPr>
      </w:pPr>
      <w:r>
        <w:rPr>
          <w:rFonts w:ascii="Times New Roman" w:hAnsi="Times New Roman" w:cs="Times New Roman"/>
          <w:u w:val="none"/>
        </w:rPr>
        <w:t>0%-5% penalty based on the year-end value/balance of noncompliant assets during the six</w:t>
      </w:r>
      <w:r w:rsidR="00B4767A">
        <w:rPr>
          <w:rFonts w:ascii="Times New Roman" w:hAnsi="Times New Roman" w:cs="Times New Roman"/>
          <w:u w:val="none"/>
        </w:rPr>
        <w:t>-</w:t>
      </w:r>
      <w:r>
        <w:rPr>
          <w:rFonts w:ascii="Times New Roman" w:hAnsi="Times New Roman" w:cs="Times New Roman"/>
          <w:u w:val="none"/>
        </w:rPr>
        <w:t>year period.</w:t>
      </w:r>
    </w:p>
    <w:p w:rsidR="00285EE7" w:rsidRPr="00285EE7" w:rsidRDefault="00285EE7" w:rsidP="00285EE7">
      <w:pPr>
        <w:spacing w:after="0" w:line="240" w:lineRule="auto"/>
        <w:ind w:right="-634"/>
        <w:rPr>
          <w:rFonts w:ascii="Times New Roman" w:hAnsi="Times New Roman" w:cs="Times New Roman"/>
          <w:u w:val="none"/>
        </w:rPr>
      </w:pPr>
    </w:p>
    <w:p w:rsidR="00993FCC" w:rsidRDefault="00993FCC" w:rsidP="00993FCC">
      <w:pPr>
        <w:pStyle w:val="ListParagraph"/>
        <w:numPr>
          <w:ilvl w:val="0"/>
          <w:numId w:val="4"/>
        </w:numPr>
        <w:spacing w:after="0" w:line="240" w:lineRule="auto"/>
        <w:ind w:right="-634"/>
        <w:rPr>
          <w:rFonts w:ascii="Times New Roman" w:hAnsi="Times New Roman" w:cs="Times New Roman"/>
          <w:color w:val="2F5496" w:themeColor="accent1" w:themeShade="BF"/>
          <w:u w:val="none"/>
        </w:rPr>
      </w:pPr>
      <w:r>
        <w:rPr>
          <w:rFonts w:ascii="Times New Roman" w:hAnsi="Times New Roman" w:cs="Times New Roman"/>
          <w:color w:val="2F5496" w:themeColor="accent1" w:themeShade="BF"/>
          <w:u w:val="none"/>
        </w:rPr>
        <w:t>Delinquent Submission</w:t>
      </w:r>
    </w:p>
    <w:p w:rsidR="00285EE7" w:rsidRDefault="00285EE7" w:rsidP="00285EE7">
      <w:pPr>
        <w:spacing w:after="0" w:line="240" w:lineRule="auto"/>
        <w:ind w:right="-634"/>
        <w:rPr>
          <w:rFonts w:ascii="Times New Roman" w:hAnsi="Times New Roman" w:cs="Times New Roman"/>
          <w:color w:val="2F5496" w:themeColor="accent1" w:themeShade="BF"/>
          <w:u w:val="none"/>
        </w:rPr>
      </w:pPr>
    </w:p>
    <w:p w:rsidR="00285EE7" w:rsidRDefault="00285EE7" w:rsidP="00285EE7">
      <w:pPr>
        <w:pStyle w:val="ListParagraph"/>
        <w:numPr>
          <w:ilvl w:val="0"/>
          <w:numId w:val="7"/>
        </w:numPr>
        <w:spacing w:after="0" w:line="240" w:lineRule="auto"/>
        <w:ind w:left="360" w:right="-634"/>
        <w:rPr>
          <w:rFonts w:ascii="Times New Roman" w:hAnsi="Times New Roman" w:cs="Times New Roman"/>
          <w:u w:val="none"/>
        </w:rPr>
      </w:pPr>
      <w:r>
        <w:rPr>
          <w:rFonts w:ascii="Times New Roman" w:hAnsi="Times New Roman" w:cs="Times New Roman"/>
          <w:u w:val="none"/>
        </w:rPr>
        <w:t>As to FBARs, this program is reserved for taxpayers who do not need to participate in the OVDP or Streamlined Filing Compliance Procedure because the taxpayer does not have unreported income or unpaid tax.  There is no penalty when the submission is processed and accepted by the IRS.</w:t>
      </w:r>
      <w:r w:rsidR="00D120D5">
        <w:rPr>
          <w:rFonts w:ascii="Times New Roman" w:hAnsi="Times New Roman" w:cs="Times New Roman"/>
          <w:u w:val="none"/>
        </w:rPr>
        <w:t xml:space="preserve">  However, the IRS reserves the right to re-examine the issue upon an audit. </w:t>
      </w:r>
    </w:p>
    <w:p w:rsidR="00285EE7" w:rsidRDefault="00285EE7" w:rsidP="00285EE7">
      <w:pPr>
        <w:pStyle w:val="ListParagraph"/>
        <w:spacing w:after="0" w:line="240" w:lineRule="auto"/>
        <w:ind w:left="360" w:right="-634"/>
        <w:rPr>
          <w:rFonts w:ascii="Times New Roman" w:hAnsi="Times New Roman" w:cs="Times New Roman"/>
          <w:u w:val="none"/>
        </w:rPr>
      </w:pPr>
    </w:p>
    <w:p w:rsidR="00285EE7" w:rsidRDefault="00285EE7" w:rsidP="00285EE7">
      <w:pPr>
        <w:pStyle w:val="ListParagraph"/>
        <w:numPr>
          <w:ilvl w:val="0"/>
          <w:numId w:val="7"/>
        </w:numPr>
        <w:spacing w:after="0" w:line="240" w:lineRule="auto"/>
        <w:ind w:left="360" w:right="-634"/>
        <w:rPr>
          <w:rFonts w:ascii="Times New Roman" w:hAnsi="Times New Roman" w:cs="Times New Roman"/>
          <w:u w:val="none"/>
        </w:rPr>
      </w:pPr>
      <w:r>
        <w:rPr>
          <w:rFonts w:ascii="Times New Roman" w:hAnsi="Times New Roman" w:cs="Times New Roman"/>
          <w:u w:val="none"/>
        </w:rPr>
        <w:t xml:space="preserve">As to other information return, the program is reserved for taxpayers who have “reasonable cause” for </w:t>
      </w:r>
      <w:r w:rsidR="00D120D5">
        <w:rPr>
          <w:rFonts w:ascii="Times New Roman" w:hAnsi="Times New Roman" w:cs="Times New Roman"/>
          <w:u w:val="none"/>
        </w:rPr>
        <w:t xml:space="preserve">the noncompliance. </w:t>
      </w:r>
      <w:r w:rsidR="00B4767A">
        <w:rPr>
          <w:rFonts w:ascii="Times New Roman" w:hAnsi="Times New Roman" w:cs="Times New Roman"/>
          <w:u w:val="none"/>
        </w:rPr>
        <w:t>“Reasonable cause” requires the taxpayer to exercise ordinary care and prudence.  T</w:t>
      </w:r>
      <w:r w:rsidR="00D120D5">
        <w:rPr>
          <w:rFonts w:ascii="Times New Roman" w:hAnsi="Times New Roman" w:cs="Times New Roman"/>
          <w:u w:val="none"/>
        </w:rPr>
        <w:t xml:space="preserve">here is no penalty </w:t>
      </w:r>
      <w:r w:rsidR="00B4767A">
        <w:rPr>
          <w:rFonts w:ascii="Times New Roman" w:hAnsi="Times New Roman" w:cs="Times New Roman"/>
          <w:u w:val="none"/>
        </w:rPr>
        <w:t>if reasonable cause is established and accepted by the IRS</w:t>
      </w:r>
      <w:r w:rsidR="00D120D5">
        <w:rPr>
          <w:rFonts w:ascii="Times New Roman" w:hAnsi="Times New Roman" w:cs="Times New Roman"/>
          <w:u w:val="none"/>
        </w:rPr>
        <w:t>.  However, the IRS reserves the right to re-examine the issue upon an audit.</w:t>
      </w:r>
    </w:p>
    <w:p w:rsidR="00B4767A" w:rsidRDefault="00B4767A" w:rsidP="00B4767A">
      <w:pPr>
        <w:spacing w:after="0" w:line="240" w:lineRule="auto"/>
        <w:ind w:right="-634"/>
        <w:rPr>
          <w:rFonts w:ascii="Times New Roman" w:hAnsi="Times New Roman" w:cs="Times New Roman"/>
          <w:u w:val="none"/>
        </w:rPr>
      </w:pPr>
    </w:p>
    <w:p w:rsidR="00B97DC0" w:rsidRDefault="00B4767A" w:rsidP="00B4767A">
      <w:pPr>
        <w:spacing w:after="0" w:line="240" w:lineRule="auto"/>
        <w:ind w:left="-450" w:right="-634"/>
        <w:rPr>
          <w:rFonts w:ascii="Times New Roman" w:hAnsi="Times New Roman" w:cs="Times New Roman"/>
          <w:u w:val="none"/>
        </w:rPr>
      </w:pPr>
      <w:r>
        <w:rPr>
          <w:rFonts w:ascii="Times New Roman" w:hAnsi="Times New Roman" w:cs="Times New Roman"/>
          <w:u w:val="none"/>
        </w:rPr>
        <w:t>Disclaimer: The information above is provided for information only</w:t>
      </w:r>
      <w:r w:rsidR="00B97DC0">
        <w:rPr>
          <w:rFonts w:ascii="Times New Roman" w:hAnsi="Times New Roman" w:cs="Times New Roman"/>
          <w:u w:val="none"/>
        </w:rPr>
        <w:t xml:space="preserve"> and does not include many details which may affect an individual’s tax situation.  The information above does not constitute an attorney-client relationship or provision of advice by an attorney.  Individuals should consult a qualified tax attorney to </w:t>
      </w:r>
      <w:r w:rsidR="00AF5318">
        <w:rPr>
          <w:rFonts w:ascii="Times New Roman" w:hAnsi="Times New Roman" w:cs="Times New Roman"/>
          <w:u w:val="none"/>
        </w:rPr>
        <w:t>evaluate their specific situation.</w:t>
      </w:r>
    </w:p>
    <w:p w:rsidR="008565F7" w:rsidRDefault="008565F7" w:rsidP="00B4767A">
      <w:pPr>
        <w:spacing w:after="0" w:line="240" w:lineRule="auto"/>
        <w:ind w:left="-450" w:right="-634"/>
        <w:rPr>
          <w:rFonts w:ascii="Times New Roman" w:hAnsi="Times New Roman" w:cs="Times New Roman"/>
          <w:u w:val="none"/>
        </w:rPr>
      </w:pPr>
    </w:p>
    <w:p w:rsidR="008565F7" w:rsidRDefault="008565F7" w:rsidP="008565F7">
      <w:pPr>
        <w:spacing w:after="0" w:line="240" w:lineRule="auto"/>
        <w:ind w:left="-450" w:right="-634"/>
        <w:rPr>
          <w:rFonts w:ascii="Times New Roman" w:hAnsi="Times New Roman" w:cs="Times New Roman"/>
          <w:u w:val="none"/>
        </w:rPr>
      </w:pPr>
      <w:r>
        <w:rPr>
          <w:rFonts w:ascii="Times New Roman" w:hAnsi="Times New Roman" w:cs="Times New Roman"/>
          <w:u w:val="none"/>
        </w:rPr>
        <w:t>Please contact our office at (925)202-2922 if you wish to schedule a consultation to discuss your situation.</w:t>
      </w:r>
    </w:p>
    <w:p w:rsidR="008565F7" w:rsidRDefault="008565F7" w:rsidP="00B4767A">
      <w:pPr>
        <w:spacing w:after="0" w:line="240" w:lineRule="auto"/>
        <w:ind w:left="-450" w:right="-634"/>
        <w:rPr>
          <w:rFonts w:ascii="Times New Roman" w:hAnsi="Times New Roman" w:cs="Times New Roman"/>
          <w:u w:val="none"/>
        </w:rPr>
      </w:pPr>
    </w:p>
    <w:p w:rsidR="009A5D11" w:rsidRDefault="000C7418" w:rsidP="00B4767A">
      <w:pPr>
        <w:spacing w:after="0" w:line="240" w:lineRule="auto"/>
        <w:ind w:left="-450" w:right="-634"/>
        <w:rPr>
          <w:rFonts w:ascii="Times New Roman" w:hAnsi="Times New Roman" w:cs="Times New Roman"/>
          <w:u w:val="none"/>
        </w:rPr>
      </w:pPr>
      <w:r>
        <w:rPr>
          <w:rFonts w:ascii="Times New Roman" w:hAnsi="Times New Roman" w:cs="Times New Roman"/>
          <w:noProof/>
          <w:u w:val="none"/>
        </w:rPr>
        <w:pict>
          <v:shapetype id="_x0000_t202" coordsize="21600,21600" o:spt="202" path="m0,0l0,21600,21600,21600,21600,0xe">
            <v:stroke joinstyle="miter"/>
            <v:path gradientshapeok="t" o:connecttype="rect"/>
          </v:shapetype>
          <v:shape id="Text Box 3" o:spid="_x0000_s1026" type="#_x0000_t202" style="position:absolute;left:0;text-align:left;margin-left:163pt;margin-top:67.45pt;width:259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OblgIAALoFAAAOAAAAZHJzL2Uyb0RvYy54bWysVN9PGzEMfp+0/yHK+7j+gkHVK+pATJMQ&#10;oMHEc5pL2ogkzpK0d91fj5O7HoXxwrSXOzv+7NhfbM/OG6PJVvigwJZ0eDSgRFgOlbKrkv56uPpy&#10;SkmIzFZMgxUl3YlAz+efP81qNxUjWIOuhCcYxIZp7Uq6jtFNiyLwtTAsHIETFo0SvGERVb8qKs9q&#10;jG50MRoMTooafOU8cBECnl62RjrP8aUUPN5KGUQkuqSYW8xfn7/L9C3mMzZdeebWindpsH/IwjBl&#10;8dI+1CWLjGy8+iuUUdxDABmPOJgCpFRc5BqwmuHgTTX3a+ZErgXJCa6nKfy/sPxme+eJqko6psQy&#10;g0/0IJpIvkFDxomd2oUpgu4dwmKDx/jK+/OAh6noRnqT/lgOQTvyvOu5TcE4Ho5Hp2fjAZo42obH&#10;k7MJKhi/eHF3PsTvAgxJQkk9Pl7mlG2vQ2yhe0i6LYBW1ZXSOiupYcSF9mTL8Kl1zEli8FcobUld&#10;0pPx8SAHfmVLoXv/pWb8qUvvAIXxtE3XidxaXVqJopaKLMWdFgmj7U8hkdrMyDs5Ms6F7fPM6ISS&#10;WNFHHDv8S1YfcW7rQI98M9jYOxtlwbcsvaa2etpTK1s8vuFB3UmMzbLJPdV3yhKqHTaQh3YAg+NX&#10;Cvm+ZiHeMY8Th42BWyTe4kdqwEeCTqJkDf7Pe+cJj4OAVkpqnOCSht8b5gUl+ofFETkbTiZp5LMy&#10;Of46QsUfWpaHFrsxF4CdM8R95XgWEz7qvSg9mEdcNot0K5qY5Xh3SeNevIjtXsFlxcVikUE45I7F&#10;a3vveAqdWE599tA8Mu+6Po84Ijewn3U2fdPuLTZ5WlhsIkiVZyHx3LLa8Y8LIk9Tt8zSBjrUM+pl&#10;5c6fAQAA//8DAFBLAwQUAAYACAAAACEAnwM7CN0AAAALAQAADwAAAGRycy9kb3ducmV2LnhtbEyP&#10;wU7DMBBE70j8g7VI3KhDGxUnxKkAtVw4URBnN97aFrEdxW6a/j3LCY47bzQ702xm37MJx+RikHC/&#10;KIBh6KJ2wUj4/NjdCWApq6BVHwNKuGCCTXt91ahax3N4x2mfDaOQkGolweY81JynzqJXaREHDMSO&#10;cfQq0zkarkd1pnDf82VRrLlXLtAHqwZ8sdh9709ewvbZVKYTarRboZ2b5q/jm3mV8vZmfnoElnHO&#10;f2b4rU/VoaVOh3gKOrFewmq5pi2ZwKqsgJFDlCUpB0IPogLeNvz/hvYHAAD//wMAUEsBAi0AFAAG&#10;AAgAAAAhALaDOJL+AAAA4QEAABMAAAAAAAAAAAAAAAAAAAAAAFtDb250ZW50X1R5cGVzXS54bWxQ&#10;SwECLQAUAAYACAAAACEAOP0h/9YAAACUAQAACwAAAAAAAAAAAAAAAAAvAQAAX3JlbHMvLnJlbHNQ&#10;SwECLQAUAAYACAAAACEA3HFzm5YCAAC6BQAADgAAAAAAAAAAAAAAAAAuAgAAZHJzL2Uyb0RvYy54&#10;bWxQSwECLQAUAAYACAAAACEAnwM7CN0AAAALAQAADwAAAAAAAAAAAAAAAADwBAAAZHJzL2Rvd25y&#10;ZXYueG1sUEsFBgAAAAAEAAQA8wAAAPoFAAAAAA==&#10;" fillcolor="white [3201]" strokeweight=".5pt">
            <v:textbox>
              <w:txbxContent>
                <w:p w:rsidR="009A5D11" w:rsidRPr="00AF5318" w:rsidRDefault="009A5D11" w:rsidP="00AF5318">
                  <w:pPr>
                    <w:autoSpaceDE w:val="0"/>
                    <w:autoSpaceDN w:val="0"/>
                    <w:adjustRightInd w:val="0"/>
                    <w:spacing w:after="0" w:line="240" w:lineRule="auto"/>
                    <w:jc w:val="center"/>
                    <w:rPr>
                      <w:rFonts w:ascii="Times New Roman" w:hAnsi="Times New Roman" w:cs="Times New Roman"/>
                      <w:b/>
                      <w:bCs/>
                      <w:sz w:val="28"/>
                      <w:szCs w:val="28"/>
                      <w:u w:val="none"/>
                    </w:rPr>
                  </w:pPr>
                  <w:r w:rsidRPr="00AF5318">
                    <w:rPr>
                      <w:rFonts w:ascii="Times New Roman" w:hAnsi="Times New Roman" w:cs="Times New Roman"/>
                      <w:b/>
                      <w:bCs/>
                      <w:sz w:val="28"/>
                      <w:szCs w:val="28"/>
                      <w:u w:val="none"/>
                    </w:rPr>
                    <w:t>Jenny C. Lin J.D., LL.M. (Tax)</w:t>
                  </w:r>
                </w:p>
                <w:p w:rsidR="009A5D11" w:rsidRPr="00AF5318" w:rsidRDefault="009A5D11" w:rsidP="00AF5318">
                  <w:pPr>
                    <w:autoSpaceDE w:val="0"/>
                    <w:autoSpaceDN w:val="0"/>
                    <w:adjustRightInd w:val="0"/>
                    <w:spacing w:after="0" w:line="240" w:lineRule="auto"/>
                    <w:jc w:val="center"/>
                    <w:rPr>
                      <w:rFonts w:ascii="Times New Roman" w:hAnsi="Times New Roman" w:cs="Times New Roman"/>
                      <w:b/>
                      <w:sz w:val="28"/>
                      <w:szCs w:val="28"/>
                      <w:u w:val="none"/>
                    </w:rPr>
                  </w:pPr>
                  <w:r w:rsidRPr="00AF5318">
                    <w:rPr>
                      <w:rFonts w:ascii="Times New Roman" w:hAnsi="Times New Roman" w:cs="Times New Roman"/>
                      <w:b/>
                      <w:sz w:val="28"/>
                      <w:szCs w:val="28"/>
                      <w:u w:val="none"/>
                    </w:rPr>
                    <w:t>Lin Tax Law</w:t>
                  </w:r>
                </w:p>
                <w:p w:rsidR="009A5D11" w:rsidRPr="00AF5318" w:rsidRDefault="009A5D11" w:rsidP="00AF5318">
                  <w:pPr>
                    <w:autoSpaceDE w:val="0"/>
                    <w:autoSpaceDN w:val="0"/>
                    <w:adjustRightInd w:val="0"/>
                    <w:spacing w:after="0" w:line="240" w:lineRule="auto"/>
                    <w:jc w:val="center"/>
                    <w:rPr>
                      <w:rFonts w:ascii="Times New Roman" w:hAnsi="Times New Roman" w:cs="Times New Roman"/>
                      <w:b/>
                      <w:sz w:val="28"/>
                      <w:szCs w:val="28"/>
                      <w:u w:val="none"/>
                    </w:rPr>
                  </w:pPr>
                  <w:r w:rsidRPr="00AF5318">
                    <w:rPr>
                      <w:rFonts w:ascii="Times New Roman" w:hAnsi="Times New Roman" w:cs="Times New Roman"/>
                      <w:b/>
                      <w:sz w:val="28"/>
                      <w:szCs w:val="28"/>
                      <w:u w:val="none"/>
                    </w:rPr>
                    <w:t>1655 N. Main Street</w:t>
                  </w:r>
                </w:p>
                <w:p w:rsidR="009A5D11" w:rsidRPr="00AF5318" w:rsidRDefault="009A5D11" w:rsidP="00AF5318">
                  <w:pPr>
                    <w:autoSpaceDE w:val="0"/>
                    <w:autoSpaceDN w:val="0"/>
                    <w:adjustRightInd w:val="0"/>
                    <w:spacing w:after="0" w:line="240" w:lineRule="auto"/>
                    <w:jc w:val="center"/>
                    <w:rPr>
                      <w:rFonts w:ascii="Times New Roman" w:hAnsi="Times New Roman" w:cs="Times New Roman"/>
                      <w:b/>
                      <w:sz w:val="28"/>
                      <w:szCs w:val="28"/>
                      <w:u w:val="none"/>
                    </w:rPr>
                  </w:pPr>
                  <w:r w:rsidRPr="00AF5318">
                    <w:rPr>
                      <w:rFonts w:ascii="Times New Roman" w:hAnsi="Times New Roman" w:cs="Times New Roman"/>
                      <w:b/>
                      <w:sz w:val="28"/>
                      <w:szCs w:val="28"/>
                      <w:u w:val="none"/>
                    </w:rPr>
                    <w:t>Suite 350</w:t>
                  </w:r>
                </w:p>
                <w:p w:rsidR="009A5D11" w:rsidRPr="00AF5318" w:rsidRDefault="009A5D11" w:rsidP="00AF5318">
                  <w:pPr>
                    <w:autoSpaceDE w:val="0"/>
                    <w:autoSpaceDN w:val="0"/>
                    <w:adjustRightInd w:val="0"/>
                    <w:spacing w:after="0" w:line="240" w:lineRule="auto"/>
                    <w:jc w:val="center"/>
                    <w:rPr>
                      <w:rFonts w:ascii="Times New Roman" w:hAnsi="Times New Roman" w:cs="Times New Roman"/>
                      <w:b/>
                      <w:sz w:val="28"/>
                      <w:szCs w:val="28"/>
                      <w:u w:val="none"/>
                    </w:rPr>
                  </w:pPr>
                  <w:r w:rsidRPr="00AF5318">
                    <w:rPr>
                      <w:rFonts w:ascii="Times New Roman" w:hAnsi="Times New Roman" w:cs="Times New Roman"/>
                      <w:b/>
                      <w:sz w:val="28"/>
                      <w:szCs w:val="28"/>
                      <w:u w:val="none"/>
                    </w:rPr>
                    <w:t>Walnut Creek, CA 94596</w:t>
                  </w:r>
                </w:p>
                <w:p w:rsidR="009A5D11" w:rsidRPr="00AF5318" w:rsidRDefault="009A5D11" w:rsidP="00AF5318">
                  <w:pPr>
                    <w:autoSpaceDE w:val="0"/>
                    <w:autoSpaceDN w:val="0"/>
                    <w:adjustRightInd w:val="0"/>
                    <w:spacing w:after="0" w:line="240" w:lineRule="auto"/>
                    <w:jc w:val="center"/>
                    <w:rPr>
                      <w:rFonts w:ascii="Times New Roman" w:hAnsi="Times New Roman" w:cs="Times New Roman"/>
                      <w:b/>
                      <w:sz w:val="28"/>
                      <w:szCs w:val="28"/>
                      <w:u w:val="none"/>
                    </w:rPr>
                  </w:pPr>
                  <w:r w:rsidRPr="00AF5318">
                    <w:rPr>
                      <w:rFonts w:ascii="Times New Roman" w:hAnsi="Times New Roman" w:cs="Times New Roman"/>
                      <w:b/>
                      <w:sz w:val="28"/>
                      <w:szCs w:val="28"/>
                      <w:u w:val="none"/>
                    </w:rPr>
                    <w:t>(925) 202-2922</w:t>
                  </w:r>
                </w:p>
                <w:p w:rsidR="009A5D11" w:rsidRPr="00AF5318" w:rsidRDefault="009A5D11" w:rsidP="008565F7">
                  <w:pPr>
                    <w:autoSpaceDE w:val="0"/>
                    <w:autoSpaceDN w:val="0"/>
                    <w:adjustRightInd w:val="0"/>
                    <w:spacing w:after="0" w:line="240" w:lineRule="auto"/>
                    <w:jc w:val="center"/>
                    <w:rPr>
                      <w:rFonts w:ascii="Times New Roman" w:hAnsi="Times New Roman" w:cs="Times New Roman"/>
                      <w:b/>
                      <w:sz w:val="28"/>
                      <w:szCs w:val="28"/>
                      <w:u w:val="none"/>
                    </w:rPr>
                  </w:pPr>
                  <w:r w:rsidRPr="00AF5318">
                    <w:rPr>
                      <w:rFonts w:ascii="Times New Roman" w:hAnsi="Times New Roman" w:cs="Times New Roman"/>
                      <w:b/>
                      <w:sz w:val="28"/>
                      <w:szCs w:val="28"/>
                      <w:u w:val="none"/>
                    </w:rPr>
                    <w:t>jlin@lintaxlaw.com</w:t>
                  </w:r>
                </w:p>
                <w:p w:rsidR="009A5D11" w:rsidRDefault="009A5D11"/>
              </w:txbxContent>
            </v:textbox>
          </v:shape>
        </w:pict>
      </w:r>
      <w:r>
        <w:rPr>
          <w:rFonts w:ascii="Times New Roman" w:hAnsi="Times New Roman" w:cs="Times New Roman"/>
          <w:noProof/>
          <w:u w:val="none"/>
        </w:rPr>
        <w:pict>
          <v:shape id="Text Box 2" o:spid="_x0000_s1027" type="#_x0000_t202" style="position:absolute;left:0;text-align:left;margin-left:-.5pt;margin-top:23.45pt;width:459pt;height:4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KhKAIAAE4EAAAOAAAAZHJzL2Uyb0RvYy54bWysVNtu2zAMfR+wfxD0vviyuE2MOEWXLsOA&#10;7gK0+wBZlmNhsqhJSuzs60fJaRp028swPwiiSB0dHpJe3Yy9IgdhnQRd0WyWUiI0h0bqXUW/PW7f&#10;LChxnumGKdCiokfh6M369avVYEqRQweqEZYgiHblYCraeW/KJHG8Ez1zMzBCo7MF2zOPpt0ljWUD&#10;ovcqydP0KhnANsYCF87h6d3kpOuI37aC+y9t64QnqqLIzcfVxrUOa7JesXJnmekkP9Fg/8CiZ1Lj&#10;o2eoO+YZ2Vv5G1QvuQUHrZ9x6BNoW8lFzAGzydIX2Tx0zIiYC4rjzFkm9/9g+efDV0tkU9E8u6ZE&#10;sx6L9ChGT97BSPKgz2BciWEPBgP9iMdY55irM/fAvzuiYdMxvRO31sLQCdYgvyzcTC6uTjgugNTD&#10;J2jwGbb3EIHG1vZBPJSDIDrW6XiuTaDC8bBY5Mu3Kbo4+opikV0VsXoJK5+uG+v8BwE9CZuKWix+&#10;hGeHe+cDHVY+hYTXHCjZbKVS0bC7eqMsOTBslG38YgYvwpQmQ0WXRV5MCvwVIo3fnyB66bHjlewr&#10;ujgHsTLo9l43sR89k2raI2WlT0IG7SYV/ViPsWZR5SByDc0RlbUwNTgOJG46sD8pGbC5K+p+7JkV&#10;lKiPGquzzObzMA3RmBfXORr20lNfepjmCFVRT8m03fg4QUE3DbdYxVZGfZ+ZnChj00bZTwMWpuLS&#10;jlHPv4H1LwAAAP//AwBQSwMEFAAGAAgAAAAhAAdInQXgAAAACQEAAA8AAABkcnMvZG93bnJldi54&#10;bWxMj0FPwzAMhe9I/IfISFzQlnaMbi1NJ4QEYjcYCK5Z67UViVOSrCv/HnOCm+339Py9cjNZI0b0&#10;oXekIJ0nIJBq1/TUKnh7fZitQYSoqdHGESr4xgCb6vys1EXjTvSC4y62gkMoFFpBF+NQSBnqDq0O&#10;czcgsXZw3urIq29l4/WJw62RiyTJpNU98YdOD3jfYf25O1oF6+XT+BG218/vdXYwebxajY9fXqnL&#10;i+nuFkTEKf6Z4Ref0aFipr07UhOEUTBLuUpUsMxyEKzn6YoPex4WNznIqpT/G1Q/AAAA//8DAFBL&#10;AQItABQABgAIAAAAIQC2gziS/gAAAOEBAAATAAAAAAAAAAAAAAAAAAAAAABbQ29udGVudF9UeXBl&#10;c10ueG1sUEsBAi0AFAAGAAgAAAAhADj9If/WAAAAlAEAAAsAAAAAAAAAAAAAAAAALwEAAF9yZWxz&#10;Ly5yZWxzUEsBAi0AFAAGAAgAAAAhAAEToqEoAgAATgQAAA4AAAAAAAAAAAAAAAAALgIAAGRycy9l&#10;Mm9Eb2MueG1sUEsBAi0AFAAGAAgAAAAhAAdInQXgAAAACQEAAA8AAAAAAAAAAAAAAAAAggQAAGRy&#10;cy9kb3ducmV2LnhtbFBLBQYAAAAABAAEAPMAAACPBQAAAAA=&#10;">
            <v:textbox>
              <w:txbxContent>
                <w:p w:rsidR="009A5D11" w:rsidRDefault="00AF5318" w:rsidP="009A5D11">
                  <w:pPr>
                    <w:autoSpaceDE w:val="0"/>
                    <w:autoSpaceDN w:val="0"/>
                    <w:adjustRightInd w:val="0"/>
                    <w:spacing w:after="0" w:line="240" w:lineRule="auto"/>
                    <w:rPr>
                      <w:rFonts w:ascii="Times-Bold" w:hAnsi="Times-Bold" w:cs="Times-Bold"/>
                      <w:b/>
                      <w:bCs/>
                      <w:szCs w:val="24"/>
                    </w:rPr>
                  </w:pPr>
                  <w:r>
                    <w:rPr>
                      <w:rFonts w:ascii="Times-Bold" w:hAnsi="Times-Bold" w:cs="Times-Bold"/>
                      <w:b/>
                      <w:bCs/>
                      <w:szCs w:val="24"/>
                    </w:rPr>
                    <w:t xml:space="preserve"> </w:t>
                  </w:r>
                </w:p>
                <w:p w:rsidR="009A5D11" w:rsidRDefault="009A5D11" w:rsidP="009A5D11">
                  <w:pPr>
                    <w:autoSpaceDE w:val="0"/>
                    <w:autoSpaceDN w:val="0"/>
                    <w:adjustRightInd w:val="0"/>
                    <w:spacing w:after="0" w:line="240" w:lineRule="auto"/>
                    <w:rPr>
                      <w:rFonts w:ascii="Times-Bold" w:hAnsi="Times-Bold" w:cs="Times-Bold"/>
                      <w:b/>
                      <w:bCs/>
                      <w:szCs w:val="24"/>
                    </w:rPr>
                  </w:pPr>
                  <w:r w:rsidRPr="00E13B64">
                    <w:rPr>
                      <w:rFonts w:ascii="Times New Roman" w:hAnsi="Times New Roman" w:cs="Times New Roman"/>
                      <w:noProof/>
                      <w:u w:val="none"/>
                    </w:rPr>
                    <w:drawing>
                      <wp:inline distT="0" distB="0" distL="0" distR="0">
                        <wp:extent cx="1645920" cy="2130552"/>
                        <wp:effectExtent l="0" t="0" r="0" b="3175"/>
                        <wp:docPr id="7" name="Picture 7" descr="Z:\Shared\MARKETING\Podcasts\Podcast Guest Personal Folder\Jenny Lin\Jenny 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MARKETING\Podcasts\Podcast Guest Personal Folder\Jenny Lin\Jenny Lin.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2130552"/>
                                </a:xfrm>
                                <a:prstGeom prst="rect">
                                  <a:avLst/>
                                </a:prstGeom>
                                <a:noFill/>
                                <a:ln>
                                  <a:noFill/>
                                </a:ln>
                              </pic:spPr>
                            </pic:pic>
                          </a:graphicData>
                        </a:graphic>
                      </wp:inline>
                    </w:drawing>
                  </w:r>
                </w:p>
                <w:p w:rsidR="009A5D11" w:rsidRDefault="009A5D11" w:rsidP="00E13B64">
                  <w:pPr>
                    <w:autoSpaceDE w:val="0"/>
                    <w:autoSpaceDN w:val="0"/>
                    <w:adjustRightInd w:val="0"/>
                    <w:spacing w:after="0" w:line="240" w:lineRule="auto"/>
                    <w:rPr>
                      <w:rFonts w:ascii="Times-Roman" w:hAnsi="Times-Roman" w:cs="Times-Roman"/>
                      <w:sz w:val="22"/>
                      <w:u w:val="none"/>
                    </w:rPr>
                  </w:pPr>
                </w:p>
                <w:p w:rsidR="00E13B64" w:rsidRDefault="00E13B64" w:rsidP="00E13B64">
                  <w:pPr>
                    <w:autoSpaceDE w:val="0"/>
                    <w:autoSpaceDN w:val="0"/>
                    <w:adjustRightInd w:val="0"/>
                    <w:spacing w:after="0" w:line="240" w:lineRule="auto"/>
                    <w:rPr>
                      <w:rFonts w:ascii="Times-Roman" w:hAnsi="Times-Roman" w:cs="Times-Roman"/>
                      <w:sz w:val="22"/>
                    </w:rPr>
                  </w:pPr>
                  <w:r w:rsidRPr="00E13B64">
                    <w:rPr>
                      <w:rFonts w:ascii="Times-Roman" w:hAnsi="Times-Roman" w:cs="Times-Roman"/>
                      <w:sz w:val="22"/>
                      <w:u w:val="none"/>
                    </w:rPr>
                    <w:t>Ms. Lin has been practicing tax law since obtaining her juris doctor degree</w:t>
                  </w:r>
                  <w:r>
                    <w:rPr>
                      <w:rFonts w:ascii="Times-Roman" w:hAnsi="Times-Roman" w:cs="Times-Roman"/>
                      <w:sz w:val="22"/>
                      <w:u w:val="none"/>
                    </w:rPr>
                    <w:t xml:space="preserve"> </w:t>
                  </w:r>
                  <w:r w:rsidRPr="00E13B64">
                    <w:rPr>
                      <w:rFonts w:ascii="Times-Roman" w:hAnsi="Times-Roman" w:cs="Times-Roman"/>
                      <w:sz w:val="22"/>
                      <w:u w:val="none"/>
                    </w:rPr>
                    <w:t xml:space="preserve">in 2000 from U.C. Berkeley, Boalt Hall School of Law. She is one of </w:t>
                  </w:r>
                  <w:r w:rsidR="00F3106C">
                    <w:rPr>
                      <w:rFonts w:ascii="Times-Roman" w:hAnsi="Times-Roman" w:cs="Times-Roman"/>
                      <w:sz w:val="22"/>
                      <w:u w:val="none"/>
                    </w:rPr>
                    <w:t>about</w:t>
                  </w:r>
                  <w:bookmarkStart w:id="0" w:name="_GoBack"/>
                  <w:bookmarkEnd w:id="0"/>
                  <w:r w:rsidR="00AF5318">
                    <w:rPr>
                      <w:rFonts w:ascii="Times-Roman" w:hAnsi="Times-Roman" w:cs="Times-Roman"/>
                      <w:sz w:val="22"/>
                      <w:u w:val="none"/>
                    </w:rPr>
                    <w:t xml:space="preserve"> </w:t>
                  </w:r>
                  <w:r w:rsidRPr="00E13B64">
                    <w:rPr>
                      <w:rFonts w:ascii="Times-Roman" w:hAnsi="Times-Roman" w:cs="Times-Roman"/>
                      <w:sz w:val="22"/>
                      <w:u w:val="none"/>
                    </w:rPr>
                    <w:t>four hundred attorneys certified as a tax specialist by the State Bar of California Board of Legal Specialization</w:t>
                  </w:r>
                  <w:r w:rsidRPr="008565F7">
                    <w:rPr>
                      <w:rFonts w:ascii="Times-Roman" w:hAnsi="Times-Roman" w:cs="Times-Roman"/>
                      <w:sz w:val="22"/>
                      <w:u w:val="none"/>
                    </w:rPr>
                    <w:t>.</w:t>
                  </w:r>
                </w:p>
                <w:p w:rsidR="00E13B64" w:rsidRDefault="00E13B64" w:rsidP="00E13B64">
                  <w:pPr>
                    <w:autoSpaceDE w:val="0"/>
                    <w:autoSpaceDN w:val="0"/>
                    <w:adjustRightInd w:val="0"/>
                    <w:spacing w:after="0" w:line="240" w:lineRule="auto"/>
                    <w:rPr>
                      <w:rFonts w:ascii="Times-Roman" w:hAnsi="Times-Roman" w:cs="Times-Roman"/>
                      <w:sz w:val="22"/>
                    </w:rPr>
                  </w:pPr>
                </w:p>
                <w:p w:rsidR="00E13B64" w:rsidRPr="009A5D11" w:rsidRDefault="00E13B64" w:rsidP="00E13B64">
                  <w:pPr>
                    <w:autoSpaceDE w:val="0"/>
                    <w:autoSpaceDN w:val="0"/>
                    <w:adjustRightInd w:val="0"/>
                    <w:spacing w:after="0" w:line="240" w:lineRule="auto"/>
                    <w:rPr>
                      <w:rFonts w:ascii="Times-Roman" w:hAnsi="Times-Roman" w:cs="Times-Roman"/>
                      <w:sz w:val="22"/>
                      <w:u w:val="none"/>
                    </w:rPr>
                  </w:pPr>
                  <w:r w:rsidRPr="009A5D11">
                    <w:rPr>
                      <w:rFonts w:ascii="Times-Roman" w:hAnsi="Times-Roman" w:cs="Times-Roman"/>
                      <w:sz w:val="22"/>
                      <w:u w:val="none"/>
                    </w:rPr>
                    <w:t xml:space="preserve">Ms. Lin has authored several articles published by </w:t>
                  </w:r>
                  <w:r w:rsidR="008565F7">
                    <w:rPr>
                      <w:rFonts w:ascii="Times-Roman" w:hAnsi="Times-Roman" w:cs="Times-Roman"/>
                      <w:sz w:val="22"/>
                      <w:u w:val="none"/>
                    </w:rPr>
                    <w:t xml:space="preserve">the bar </w:t>
                  </w:r>
                  <w:r w:rsidRPr="009A5D11">
                    <w:rPr>
                      <w:rFonts w:ascii="Times-Roman" w:hAnsi="Times-Roman" w:cs="Times-Roman"/>
                      <w:sz w:val="22"/>
                      <w:u w:val="none"/>
                    </w:rPr>
                    <w:t xml:space="preserve">and is a frequent speaker on a variety of topics. Ms. Lin has been </w:t>
                  </w:r>
                  <w:r w:rsidR="00AF5318">
                    <w:rPr>
                      <w:rFonts w:ascii="Times-Roman" w:hAnsi="Times-Roman" w:cs="Times-Roman"/>
                      <w:sz w:val="22"/>
                      <w:u w:val="none"/>
                    </w:rPr>
                    <w:t>Chair, Vice Chair, Secretary</w:t>
                  </w:r>
                  <w:r w:rsidRPr="009A5D11">
                    <w:rPr>
                      <w:rFonts w:ascii="Times-Roman" w:hAnsi="Times-Roman" w:cs="Times-Roman"/>
                      <w:sz w:val="22"/>
                      <w:u w:val="none"/>
                    </w:rPr>
                    <w:t xml:space="preserve"> and a member of the Executive C</w:t>
                  </w:r>
                  <w:r w:rsidR="00AF5318">
                    <w:rPr>
                      <w:rFonts w:ascii="Times-Roman" w:hAnsi="Times-Roman" w:cs="Times-Roman"/>
                      <w:sz w:val="22"/>
                      <w:u w:val="none"/>
                    </w:rPr>
                    <w:t>ommittee</w:t>
                  </w:r>
                  <w:r w:rsidRPr="009A5D11">
                    <w:rPr>
                      <w:rFonts w:ascii="Times-Roman" w:hAnsi="Times-Roman" w:cs="Times-Roman"/>
                      <w:sz w:val="22"/>
                      <w:u w:val="none"/>
                    </w:rPr>
                    <w:t xml:space="preserve"> of the Tax Section of the Bar Association of San Francisco. She is also a member of the Society of Trust &amp; Estate Practitioners.</w:t>
                  </w:r>
                </w:p>
                <w:p w:rsidR="00E13B64" w:rsidRPr="009A5D11" w:rsidRDefault="00E13B64" w:rsidP="00E13B64">
                  <w:pPr>
                    <w:autoSpaceDE w:val="0"/>
                    <w:autoSpaceDN w:val="0"/>
                    <w:adjustRightInd w:val="0"/>
                    <w:spacing w:after="0" w:line="240" w:lineRule="auto"/>
                    <w:rPr>
                      <w:rFonts w:ascii="Times-Roman" w:hAnsi="Times-Roman" w:cs="Times-Roman"/>
                      <w:sz w:val="22"/>
                      <w:u w:val="none"/>
                    </w:rPr>
                  </w:pPr>
                </w:p>
                <w:p w:rsidR="00E13B64" w:rsidRPr="009A5D11" w:rsidRDefault="008565F7" w:rsidP="00E13B64">
                  <w:pPr>
                    <w:autoSpaceDE w:val="0"/>
                    <w:autoSpaceDN w:val="0"/>
                    <w:adjustRightInd w:val="0"/>
                    <w:spacing w:after="0" w:line="240" w:lineRule="auto"/>
                    <w:rPr>
                      <w:rFonts w:ascii="Times-Roman" w:hAnsi="Times-Roman" w:cs="Times-Roman"/>
                      <w:sz w:val="22"/>
                      <w:u w:val="none"/>
                    </w:rPr>
                  </w:pPr>
                  <w:r>
                    <w:rPr>
                      <w:rFonts w:ascii="Times-Roman" w:hAnsi="Times-Roman" w:cs="Times-Roman"/>
                      <w:sz w:val="22"/>
                      <w:u w:val="none"/>
                    </w:rPr>
                    <w:t>Her</w:t>
                  </w:r>
                  <w:r w:rsidR="00E13B64" w:rsidRPr="009A5D11">
                    <w:rPr>
                      <w:rFonts w:ascii="Times-Roman" w:hAnsi="Times-Roman" w:cs="Times-Roman"/>
                      <w:sz w:val="22"/>
                      <w:u w:val="none"/>
                    </w:rPr>
                    <w:t xml:space="preserve"> practice primarily focuses o</w:t>
                  </w:r>
                  <w:r w:rsidR="00AF5318">
                    <w:rPr>
                      <w:rFonts w:ascii="Times-Roman" w:hAnsi="Times-Roman" w:cs="Times-Roman"/>
                      <w:sz w:val="22"/>
                      <w:u w:val="none"/>
                    </w:rPr>
                    <w:t xml:space="preserve">n cross-border tax planning for </w:t>
                  </w:r>
                  <w:r w:rsidR="00E13B64" w:rsidRPr="009A5D11">
                    <w:rPr>
                      <w:rFonts w:ascii="Times-Roman" w:hAnsi="Times-Roman" w:cs="Times-Roman"/>
                      <w:sz w:val="22"/>
                      <w:u w:val="none"/>
                    </w:rPr>
                    <w:t>individuals and businesses, including:</w:t>
                  </w:r>
                </w:p>
                <w:p w:rsidR="00E13B64" w:rsidRPr="009A5D11" w:rsidRDefault="00E13B64" w:rsidP="00E13B64">
                  <w:pPr>
                    <w:pStyle w:val="ListParagraph"/>
                    <w:numPr>
                      <w:ilvl w:val="0"/>
                      <w:numId w:val="8"/>
                    </w:numPr>
                    <w:autoSpaceDE w:val="0"/>
                    <w:autoSpaceDN w:val="0"/>
                    <w:adjustRightInd w:val="0"/>
                    <w:spacing w:after="0" w:line="240" w:lineRule="auto"/>
                    <w:rPr>
                      <w:rFonts w:ascii="Times-Roman" w:hAnsi="Times-Roman" w:cs="Times-Roman"/>
                      <w:sz w:val="22"/>
                      <w:u w:val="none"/>
                    </w:rPr>
                  </w:pPr>
                  <w:r w:rsidRPr="009A5D11">
                    <w:rPr>
                      <w:rFonts w:ascii="Times-Roman" w:hAnsi="Times-Roman" w:cs="Times-Roman"/>
                      <w:sz w:val="22"/>
                      <w:u w:val="none"/>
                    </w:rPr>
                    <w:t>Representing taxpayers in the Offshore Voluntary Disclosure Program;</w:t>
                  </w:r>
                </w:p>
                <w:p w:rsidR="00E13B64" w:rsidRPr="009A5D11" w:rsidRDefault="00E13B64" w:rsidP="00E13B64">
                  <w:pPr>
                    <w:pStyle w:val="ListParagraph"/>
                    <w:numPr>
                      <w:ilvl w:val="0"/>
                      <w:numId w:val="8"/>
                    </w:numPr>
                    <w:autoSpaceDE w:val="0"/>
                    <w:autoSpaceDN w:val="0"/>
                    <w:adjustRightInd w:val="0"/>
                    <w:spacing w:after="0" w:line="240" w:lineRule="auto"/>
                    <w:rPr>
                      <w:rFonts w:ascii="Times-Roman" w:hAnsi="Times-Roman" w:cs="Times-Roman"/>
                      <w:sz w:val="22"/>
                      <w:u w:val="none"/>
                    </w:rPr>
                  </w:pPr>
                  <w:r w:rsidRPr="009A5D11">
                    <w:rPr>
                      <w:rFonts w:ascii="Times-Roman" w:hAnsi="Times-Roman" w:cs="Times-Roman"/>
                      <w:sz w:val="22"/>
                      <w:u w:val="none"/>
                    </w:rPr>
                    <w:t>Representing taxpayers in IRS or FTB audit appeals or litigation;</w:t>
                  </w:r>
                </w:p>
                <w:p w:rsidR="00E13B64" w:rsidRPr="009A5D11" w:rsidRDefault="00E13B64" w:rsidP="00E13B64">
                  <w:pPr>
                    <w:pStyle w:val="ListParagraph"/>
                    <w:numPr>
                      <w:ilvl w:val="0"/>
                      <w:numId w:val="8"/>
                    </w:numPr>
                    <w:autoSpaceDE w:val="0"/>
                    <w:autoSpaceDN w:val="0"/>
                    <w:adjustRightInd w:val="0"/>
                    <w:spacing w:after="0" w:line="240" w:lineRule="auto"/>
                    <w:rPr>
                      <w:rFonts w:ascii="Times-Roman" w:hAnsi="Times-Roman" w:cs="Times-Roman"/>
                      <w:sz w:val="22"/>
                      <w:u w:val="none"/>
                    </w:rPr>
                  </w:pPr>
                  <w:r w:rsidRPr="009A5D11">
                    <w:rPr>
                      <w:rFonts w:ascii="Times-Roman" w:hAnsi="Times-Roman" w:cs="Times-Roman"/>
                      <w:sz w:val="22"/>
                      <w:u w:val="none"/>
                    </w:rPr>
                    <w:t>Tax planning for outbound individuals and businesses;</w:t>
                  </w:r>
                </w:p>
                <w:p w:rsidR="009A5D11" w:rsidRPr="009A5D11" w:rsidRDefault="00E13B64" w:rsidP="00E13B64">
                  <w:pPr>
                    <w:pStyle w:val="ListParagraph"/>
                    <w:numPr>
                      <w:ilvl w:val="0"/>
                      <w:numId w:val="8"/>
                    </w:numPr>
                    <w:autoSpaceDE w:val="0"/>
                    <w:autoSpaceDN w:val="0"/>
                    <w:adjustRightInd w:val="0"/>
                    <w:spacing w:after="0" w:line="240" w:lineRule="auto"/>
                    <w:rPr>
                      <w:rFonts w:ascii="Times-Roman" w:hAnsi="Times-Roman" w:cs="Times-Roman"/>
                      <w:sz w:val="22"/>
                      <w:u w:val="none"/>
                    </w:rPr>
                  </w:pPr>
                  <w:r w:rsidRPr="009A5D11">
                    <w:rPr>
                      <w:rFonts w:ascii="Times-Roman" w:hAnsi="Times-Roman" w:cs="Times-Roman"/>
                      <w:sz w:val="22"/>
                      <w:u w:val="none"/>
                    </w:rPr>
                    <w:t>Tax planning for inbound individuals and investments, such as pre</w:t>
                  </w:r>
                  <w:r w:rsidR="00AF5318">
                    <w:rPr>
                      <w:rFonts w:ascii="Times-Roman" w:hAnsi="Times-Roman" w:cs="Times-Roman"/>
                      <w:sz w:val="22"/>
                      <w:u w:val="none"/>
                    </w:rPr>
                    <w:t>-</w:t>
                  </w:r>
                  <w:r w:rsidRPr="009A5D11">
                    <w:rPr>
                      <w:rFonts w:ascii="Times-Roman" w:hAnsi="Times-Roman" w:cs="Times-Roman"/>
                      <w:sz w:val="22"/>
                      <w:u w:val="none"/>
                    </w:rPr>
                    <w:t>immigration</w:t>
                  </w:r>
                  <w:r w:rsidR="009A5D11" w:rsidRPr="009A5D11">
                    <w:rPr>
                      <w:rFonts w:ascii="Times-Roman" w:hAnsi="Times-Roman" w:cs="Times-Roman"/>
                      <w:sz w:val="22"/>
                      <w:u w:val="none"/>
                    </w:rPr>
                    <w:t xml:space="preserve"> </w:t>
                  </w:r>
                  <w:r w:rsidRPr="009A5D11">
                    <w:rPr>
                      <w:rFonts w:ascii="Times-Roman" w:hAnsi="Times-Roman" w:cs="Times-Roman"/>
                      <w:sz w:val="22"/>
                      <w:u w:val="none"/>
                    </w:rPr>
                    <w:t>tax planning, U.S. real estate and syndicated fund</w:t>
                  </w:r>
                  <w:r w:rsidR="009A5D11" w:rsidRPr="009A5D11">
                    <w:rPr>
                      <w:rFonts w:ascii="Times-Roman" w:hAnsi="Times-Roman" w:cs="Times-Roman"/>
                      <w:sz w:val="22"/>
                      <w:u w:val="none"/>
                    </w:rPr>
                    <w:t xml:space="preserve"> </w:t>
                  </w:r>
                  <w:r w:rsidRPr="009A5D11">
                    <w:rPr>
                      <w:rFonts w:ascii="Times-Roman" w:hAnsi="Times-Roman" w:cs="Times-Roman"/>
                      <w:sz w:val="22"/>
                      <w:u w:val="none"/>
                    </w:rPr>
                    <w:t>targeting foreign investors;</w:t>
                  </w:r>
                </w:p>
                <w:p w:rsidR="009A5D11" w:rsidRPr="009A5D11" w:rsidRDefault="00E13B64" w:rsidP="00E13B64">
                  <w:pPr>
                    <w:pStyle w:val="ListParagraph"/>
                    <w:numPr>
                      <w:ilvl w:val="0"/>
                      <w:numId w:val="8"/>
                    </w:numPr>
                    <w:autoSpaceDE w:val="0"/>
                    <w:autoSpaceDN w:val="0"/>
                    <w:adjustRightInd w:val="0"/>
                    <w:spacing w:after="0" w:line="240" w:lineRule="auto"/>
                    <w:rPr>
                      <w:rFonts w:ascii="Times-Roman" w:hAnsi="Times-Roman" w:cs="Times-Roman"/>
                      <w:sz w:val="22"/>
                      <w:u w:val="none"/>
                    </w:rPr>
                  </w:pPr>
                  <w:r w:rsidRPr="009A5D11">
                    <w:rPr>
                      <w:rFonts w:ascii="Times-Roman" w:hAnsi="Times-Roman" w:cs="Times-Roman"/>
                      <w:sz w:val="22"/>
                      <w:u w:val="none"/>
                    </w:rPr>
                    <w:t>International estate planning for foreign individuals with U.S.</w:t>
                  </w:r>
                  <w:r w:rsidR="009A5D11" w:rsidRPr="009A5D11">
                    <w:rPr>
                      <w:rFonts w:ascii="Times-Roman" w:hAnsi="Times-Roman" w:cs="Times-Roman"/>
                      <w:sz w:val="22"/>
                      <w:u w:val="none"/>
                    </w:rPr>
                    <w:t xml:space="preserve"> </w:t>
                  </w:r>
                  <w:r w:rsidRPr="009A5D11">
                    <w:rPr>
                      <w:rFonts w:ascii="Times-Roman" w:hAnsi="Times-Roman" w:cs="Times-Roman"/>
                      <w:sz w:val="22"/>
                      <w:u w:val="none"/>
                    </w:rPr>
                    <w:t>beneficiaries; and</w:t>
                  </w:r>
                </w:p>
                <w:p w:rsidR="00E13B64" w:rsidRPr="009A5D11" w:rsidRDefault="00E13B64" w:rsidP="00E13B64">
                  <w:pPr>
                    <w:pStyle w:val="ListParagraph"/>
                    <w:numPr>
                      <w:ilvl w:val="0"/>
                      <w:numId w:val="8"/>
                    </w:numPr>
                    <w:autoSpaceDE w:val="0"/>
                    <w:autoSpaceDN w:val="0"/>
                    <w:adjustRightInd w:val="0"/>
                    <w:spacing w:after="0" w:line="240" w:lineRule="auto"/>
                    <w:rPr>
                      <w:rFonts w:ascii="Times-Roman" w:hAnsi="Times-Roman" w:cs="Times-Roman"/>
                      <w:sz w:val="22"/>
                      <w:u w:val="none"/>
                    </w:rPr>
                  </w:pPr>
                  <w:r w:rsidRPr="009A5D11">
                    <w:rPr>
                      <w:rFonts w:ascii="Times-Roman" w:hAnsi="Times-Roman" w:cs="Times-Roman"/>
                      <w:sz w:val="22"/>
                      <w:u w:val="none"/>
                    </w:rPr>
                    <w:t>International estate planning for U.S. individuals with foreign assets.</w:t>
                  </w:r>
                </w:p>
              </w:txbxContent>
            </v:textbox>
            <w10:wrap type="square"/>
          </v:shape>
        </w:pict>
      </w:r>
    </w:p>
    <w:p w:rsidR="008565F7" w:rsidRDefault="008565F7"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9A5D11" w:rsidRDefault="009A5D11" w:rsidP="00B4767A">
      <w:pPr>
        <w:spacing w:after="0" w:line="240" w:lineRule="auto"/>
        <w:ind w:left="-450" w:right="-634"/>
        <w:rPr>
          <w:rFonts w:ascii="Times New Roman" w:hAnsi="Times New Roman" w:cs="Times New Roman"/>
          <w:u w:val="none"/>
        </w:rPr>
      </w:pPr>
    </w:p>
    <w:p w:rsidR="00E13B64" w:rsidRPr="00B4767A" w:rsidRDefault="00E13B64" w:rsidP="00E13B64">
      <w:pPr>
        <w:spacing w:after="0" w:line="240" w:lineRule="auto"/>
        <w:ind w:left="-450" w:right="-634"/>
        <w:rPr>
          <w:rFonts w:ascii="Times New Roman" w:hAnsi="Times New Roman" w:cs="Times New Roman"/>
          <w:u w:val="none"/>
        </w:rPr>
      </w:pPr>
    </w:p>
    <w:sectPr w:rsidR="00E13B64" w:rsidRPr="00B4767A" w:rsidSect="004323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gutter="0"/>
      <w:pgBorders w:offsetFrom="page">
        <w:top w:val="single" w:sz="4" w:space="24" w:color="auto"/>
        <w:left w:val="single" w:sz="4" w:space="24" w:color="auto"/>
        <w:bottom w:val="single" w:sz="4" w:space="24" w:color="auto"/>
        <w:right w:val="single" w:sz="4" w:space="24" w:color="auto"/>
      </w:pgBorders>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92E03" w:rsidRDefault="00792E03" w:rsidP="00792E03">
      <w:pPr>
        <w:spacing w:after="0" w:line="240" w:lineRule="auto"/>
      </w:pPr>
      <w:r>
        <w:separator/>
      </w:r>
    </w:p>
  </w:endnote>
  <w:endnote w:type="continuationSeparator" w:id="1">
    <w:p w:rsidR="00792E03" w:rsidRDefault="00792E03" w:rsidP="00792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imes-Bold">
    <w:altName w:val="Times Roman"/>
    <w:panose1 w:val="00000000000000000000"/>
    <w:charset w:val="00"/>
    <w:family w:val="roman"/>
    <w:notTrueType/>
    <w:pitch w:val="default"/>
    <w:sig w:usb0="00000003" w:usb1="00000000" w:usb2="00000000" w:usb3="00000000" w:csb0="00000001" w:csb1="00000000"/>
  </w:font>
  <w:font w:name="Times-Roman">
    <w:altName w:val="Times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767A" w:rsidRDefault="00B4767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767A" w:rsidRDefault="00B4767A">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767A" w:rsidRDefault="00B4767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92E03" w:rsidRDefault="00792E03" w:rsidP="00792E03">
      <w:pPr>
        <w:spacing w:after="0" w:line="240" w:lineRule="auto"/>
      </w:pPr>
      <w:r>
        <w:separator/>
      </w:r>
    </w:p>
  </w:footnote>
  <w:footnote w:type="continuationSeparator" w:id="1">
    <w:p w:rsidR="00792E03" w:rsidRDefault="00792E03" w:rsidP="00792E0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23DC" w:rsidRDefault="00B4767A" w:rsidP="004323DC">
    <w:pPr>
      <w:pStyle w:val="Header"/>
      <w:jc w:val="center"/>
    </w:pPr>
    <w:r>
      <w:rPr>
        <w:noProof/>
      </w:rPr>
      <w:drawing>
        <wp:inline distT="0" distB="0" distL="0" distR="0">
          <wp:extent cx="2051050" cy="565150"/>
          <wp:effectExtent l="0" t="0" r="6350" b="6350"/>
          <wp:docPr id="10" name="Picture 1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white.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051050" cy="565150"/>
                  </a:xfrm>
                  <a:prstGeom prst="rect">
                    <a:avLst/>
                  </a:prstGeom>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767A" w:rsidRDefault="00B4767A">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767A" w:rsidRDefault="00B4767A">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23DC" w:rsidRDefault="004323DC" w:rsidP="004323DC">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2B5D"/>
      </v:shape>
    </w:pict>
  </w:numPicBullet>
  <w:abstractNum w:abstractNumId="0">
    <w:nsid w:val="027C0DCF"/>
    <w:multiLevelType w:val="hybridMultilevel"/>
    <w:tmpl w:val="E3E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5D77"/>
    <w:multiLevelType w:val="hybridMultilevel"/>
    <w:tmpl w:val="C26C4504"/>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D6E7ED4"/>
    <w:multiLevelType w:val="hybridMultilevel"/>
    <w:tmpl w:val="9EB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62920"/>
    <w:multiLevelType w:val="hybridMultilevel"/>
    <w:tmpl w:val="699886BE"/>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8461D3C"/>
    <w:multiLevelType w:val="hybridMultilevel"/>
    <w:tmpl w:val="5AEC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C3FEC"/>
    <w:multiLevelType w:val="hybridMultilevel"/>
    <w:tmpl w:val="0DFE0A3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707330F2"/>
    <w:multiLevelType w:val="hybridMultilevel"/>
    <w:tmpl w:val="C77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B0DCD"/>
    <w:multiLevelType w:val="hybridMultilevel"/>
    <w:tmpl w:val="633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792E03"/>
    <w:rsid w:val="000C7418"/>
    <w:rsid w:val="00110022"/>
    <w:rsid w:val="00175AD1"/>
    <w:rsid w:val="00285EE7"/>
    <w:rsid w:val="004323DC"/>
    <w:rsid w:val="00687214"/>
    <w:rsid w:val="00792E03"/>
    <w:rsid w:val="008565F7"/>
    <w:rsid w:val="00993FCC"/>
    <w:rsid w:val="009A5D11"/>
    <w:rsid w:val="00A30F5D"/>
    <w:rsid w:val="00A65B9B"/>
    <w:rsid w:val="00AF5318"/>
    <w:rsid w:val="00B4767A"/>
    <w:rsid w:val="00B97DC0"/>
    <w:rsid w:val="00BA71BD"/>
    <w:rsid w:val="00C917B0"/>
    <w:rsid w:val="00CC7AF1"/>
    <w:rsid w:val="00D120D5"/>
    <w:rsid w:val="00D56504"/>
    <w:rsid w:val="00E13B64"/>
    <w:rsid w:val="00E63477"/>
    <w:rsid w:val="00EE4757"/>
    <w:rsid w:val="00F3106C"/>
    <w:rsid w:val="00F56959"/>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u w:val="single"/>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9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03"/>
  </w:style>
  <w:style w:type="paragraph" w:styleId="Footer">
    <w:name w:val="footer"/>
    <w:basedOn w:val="Normal"/>
    <w:link w:val="FooterChar"/>
    <w:uiPriority w:val="99"/>
    <w:unhideWhenUsed/>
    <w:rsid w:val="0079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03"/>
  </w:style>
  <w:style w:type="paragraph" w:styleId="ListParagraph">
    <w:name w:val="List Paragraph"/>
    <w:basedOn w:val="Normal"/>
    <w:uiPriority w:val="34"/>
    <w:qFormat/>
    <w:rsid w:val="00C917B0"/>
    <w:pPr>
      <w:ind w:left="720"/>
      <w:contextualSpacing/>
    </w:pPr>
  </w:style>
  <w:style w:type="paragraph" w:styleId="BalloonText">
    <w:name w:val="Balloon Text"/>
    <w:basedOn w:val="Normal"/>
    <w:link w:val="BalloonTextChar"/>
    <w:uiPriority w:val="99"/>
    <w:semiHidden/>
    <w:unhideWhenUsed/>
    <w:rsid w:val="00AF5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3.jpeg"/><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BA0EA-7719-4B61-A15A-0081D655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6737</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c:creator>
  <cp:keywords/>
  <dc:description/>
  <cp:lastModifiedBy>Taylor  williams</cp:lastModifiedBy>
  <cp:revision>2</cp:revision>
  <cp:lastPrinted>2018-05-16T00:31:00Z</cp:lastPrinted>
  <dcterms:created xsi:type="dcterms:W3CDTF">2018-08-02T23:03:00Z</dcterms:created>
  <dcterms:modified xsi:type="dcterms:W3CDTF">2018-08-02T23:03:00Z</dcterms:modified>
</cp:coreProperties>
</file>